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6A2FFDF" w14:textId="4D38EF9F" w:rsidR="00945197" w:rsidRPr="00946C78" w:rsidRDefault="00945197" w:rsidP="00945197">
      <w:pPr>
        <w:spacing w:before="240" w:after="240" w:line="360" w:lineRule="auto"/>
        <w:jc w:val="both"/>
        <w:rPr>
          <w:rStyle w:val="eop"/>
          <w:rFonts w:ascii="Palatino Linotype" w:hAnsi="Palatino Linotype"/>
          <w:color w:val="000000"/>
          <w:shd w:val="clear" w:color="auto" w:fill="FFFFFF"/>
        </w:rPr>
      </w:pPr>
      <w:bookmarkStart w:id="0" w:name="_GoBack"/>
      <w:bookmarkEnd w:id="0"/>
      <w:r w:rsidRPr="00946C78">
        <w:rPr>
          <w:rStyle w:val="normaltextrun"/>
          <w:rFonts w:ascii="Palatino Linotype" w:hAnsi="Palatino Linotype"/>
          <w:color w:val="000000"/>
          <w:shd w:val="clear" w:color="auto" w:fill="FFFFFF"/>
        </w:rPr>
        <w:t>Resolución del Pleno del</w:t>
      </w:r>
      <w:r w:rsidRPr="00946C78">
        <w:rPr>
          <w:rStyle w:val="apple-converted-space"/>
          <w:rFonts w:ascii="Palatino Linotype" w:hAnsi="Palatino Linotype"/>
          <w:color w:val="000000"/>
          <w:shd w:val="clear" w:color="auto" w:fill="FFFFFF"/>
        </w:rPr>
        <w:t> </w:t>
      </w:r>
      <w:r w:rsidRPr="00946C78">
        <w:rPr>
          <w:rStyle w:val="normaltextrun"/>
          <w:rFonts w:ascii="Palatino Linotype" w:hAnsi="Palatino Linotype"/>
          <w:color w:val="000000"/>
          <w:shd w:val="clear" w:color="auto" w:fill="FFFFFF"/>
        </w:rPr>
        <w:t xml:space="preserve">Instituto de Transparencia, Acceso a la Información Pública y Protección de Datos Personales del Estado de México y Municipios, con domicilio </w:t>
      </w:r>
      <w:r w:rsidR="002F0603">
        <w:rPr>
          <w:rStyle w:val="normaltextrun"/>
          <w:rFonts w:ascii="Palatino Linotype" w:hAnsi="Palatino Linotype"/>
          <w:color w:val="000000"/>
          <w:shd w:val="clear" w:color="auto" w:fill="FFFFFF"/>
        </w:rPr>
        <w:t>en Metepec, Estado de México; a</w:t>
      </w:r>
      <w:r>
        <w:rPr>
          <w:rStyle w:val="normaltextrun"/>
          <w:rFonts w:ascii="Palatino Linotype" w:hAnsi="Palatino Linotype"/>
          <w:color w:val="000000"/>
          <w:shd w:val="clear" w:color="auto" w:fill="FFFFFF"/>
        </w:rPr>
        <w:t xml:space="preserve"> </w:t>
      </w:r>
      <w:r w:rsidR="0018142C">
        <w:rPr>
          <w:rStyle w:val="normaltextrun"/>
          <w:rFonts w:ascii="Palatino Linotype" w:hAnsi="Palatino Linotype"/>
          <w:color w:val="000000"/>
          <w:shd w:val="clear" w:color="auto" w:fill="FFFFFF"/>
        </w:rPr>
        <w:t>veintinueve</w:t>
      </w:r>
      <w:r w:rsidR="00127ADC">
        <w:rPr>
          <w:rStyle w:val="normaltextrun"/>
          <w:rFonts w:ascii="Palatino Linotype" w:hAnsi="Palatino Linotype"/>
          <w:color w:val="000000"/>
          <w:shd w:val="clear" w:color="auto" w:fill="FFFFFF"/>
        </w:rPr>
        <w:t xml:space="preserve"> </w:t>
      </w:r>
      <w:r>
        <w:rPr>
          <w:rStyle w:val="normaltextrun"/>
          <w:rFonts w:ascii="Palatino Linotype" w:hAnsi="Palatino Linotype"/>
          <w:color w:val="000000"/>
          <w:shd w:val="clear" w:color="auto" w:fill="FFFFFF"/>
        </w:rPr>
        <w:t xml:space="preserve">de </w:t>
      </w:r>
      <w:r w:rsidR="009904B5">
        <w:rPr>
          <w:rStyle w:val="normaltextrun"/>
          <w:rFonts w:ascii="Palatino Linotype" w:hAnsi="Palatino Linotype"/>
          <w:color w:val="000000"/>
          <w:shd w:val="clear" w:color="auto" w:fill="FFFFFF"/>
        </w:rPr>
        <w:t>agosto</w:t>
      </w:r>
      <w:r w:rsidR="00003BF2">
        <w:rPr>
          <w:rStyle w:val="normaltextrun"/>
          <w:rFonts w:ascii="Palatino Linotype" w:hAnsi="Palatino Linotype"/>
          <w:color w:val="000000"/>
          <w:shd w:val="clear" w:color="auto" w:fill="FFFFFF"/>
        </w:rPr>
        <w:t xml:space="preserve"> de dos mil dieciocho</w:t>
      </w:r>
      <w:r>
        <w:rPr>
          <w:rStyle w:val="normaltextrun"/>
          <w:rFonts w:ascii="Palatino Linotype" w:hAnsi="Palatino Linotype"/>
          <w:color w:val="000000"/>
          <w:shd w:val="clear" w:color="auto" w:fill="FFFFFF"/>
        </w:rPr>
        <w:t>.</w:t>
      </w:r>
    </w:p>
    <w:p w14:paraId="263EDDAA" w14:textId="305BCF8E" w:rsidR="00945197" w:rsidRPr="00A22E55" w:rsidRDefault="00945197" w:rsidP="00945197">
      <w:pPr>
        <w:spacing w:before="240" w:after="240" w:line="360" w:lineRule="auto"/>
        <w:jc w:val="both"/>
        <w:rPr>
          <w:rFonts w:ascii="Palatino Linotype" w:hAnsi="Palatino Linotype" w:cs="Arial"/>
        </w:rPr>
      </w:pPr>
      <w:r w:rsidRPr="00A22E55">
        <w:rPr>
          <w:rFonts w:ascii="Palatino Linotype" w:hAnsi="Palatino Linotype" w:cs="Arial"/>
          <w:b/>
        </w:rPr>
        <w:t>Visto</w:t>
      </w:r>
      <w:r w:rsidR="00F27DF1">
        <w:rPr>
          <w:rFonts w:ascii="Palatino Linotype" w:hAnsi="Palatino Linotype" w:cs="Arial"/>
        </w:rPr>
        <w:t xml:space="preserve"> el</w:t>
      </w:r>
      <w:r w:rsidRPr="00A22E55">
        <w:rPr>
          <w:rFonts w:ascii="Palatino Linotype" w:hAnsi="Palatino Linotype" w:cs="Arial"/>
        </w:rPr>
        <w:t xml:space="preserve"> expediente relativo a</w:t>
      </w:r>
      <w:r w:rsidR="00F27DF1">
        <w:rPr>
          <w:rFonts w:ascii="Palatino Linotype" w:hAnsi="Palatino Linotype" w:cs="Arial"/>
        </w:rPr>
        <w:t>l</w:t>
      </w:r>
      <w:r w:rsidRPr="00A22E55">
        <w:rPr>
          <w:rFonts w:ascii="Palatino Linotype" w:hAnsi="Palatino Linotype" w:cs="Arial"/>
        </w:rPr>
        <w:t xml:space="preserve"> recurso de revisión </w:t>
      </w:r>
      <w:r w:rsidR="0018142C">
        <w:rPr>
          <w:rFonts w:ascii="Palatino Linotype" w:hAnsi="Palatino Linotype" w:cs="Arial"/>
          <w:b/>
          <w:bCs/>
        </w:rPr>
        <w:t>02564</w:t>
      </w:r>
      <w:r w:rsidR="00003BF2">
        <w:rPr>
          <w:rFonts w:ascii="Palatino Linotype" w:hAnsi="Palatino Linotype" w:cs="Arial"/>
          <w:b/>
          <w:bCs/>
        </w:rPr>
        <w:t>/INFOEM/IP/RR/2018</w:t>
      </w:r>
      <w:r w:rsidRPr="00A22E55">
        <w:rPr>
          <w:rFonts w:ascii="Palatino Linotype" w:hAnsi="Palatino Linotype" w:cs="Arial"/>
        </w:rPr>
        <w:t xml:space="preserve">, interpuesto por </w:t>
      </w:r>
      <w:r w:rsidR="00B958C9">
        <w:rPr>
          <w:rFonts w:ascii="Palatino Linotype" w:hAnsi="Palatino Linotype" w:cs="Arial"/>
          <w:b/>
        </w:rPr>
        <w:t>Xxxxx x x</w:t>
      </w:r>
      <w:r w:rsidRPr="00A22E55">
        <w:rPr>
          <w:rFonts w:ascii="Palatino Linotype" w:hAnsi="Palatino Linotype" w:cs="Arial"/>
        </w:rPr>
        <w:t xml:space="preserve">, </w:t>
      </w:r>
      <w:r w:rsidR="00932A78">
        <w:rPr>
          <w:rFonts w:ascii="Palatino Linotype" w:hAnsi="Palatino Linotype" w:cs="Arial"/>
          <w:color w:val="000000" w:themeColor="text1"/>
        </w:rPr>
        <w:t xml:space="preserve">en lo sucesivo </w:t>
      </w:r>
      <w:r w:rsidR="009904B5">
        <w:rPr>
          <w:rFonts w:ascii="Palatino Linotype" w:hAnsi="Palatino Linotype" w:cs="Arial"/>
          <w:color w:val="000000" w:themeColor="text1"/>
        </w:rPr>
        <w:t>el</w:t>
      </w:r>
      <w:r w:rsidRPr="00A22E55">
        <w:rPr>
          <w:rFonts w:ascii="Palatino Linotype" w:hAnsi="Palatino Linotype" w:cs="Arial"/>
          <w:color w:val="000000" w:themeColor="text1"/>
        </w:rPr>
        <w:t xml:space="preserve"> </w:t>
      </w:r>
      <w:r w:rsidRPr="00A22E55">
        <w:rPr>
          <w:rFonts w:ascii="Palatino Linotype" w:hAnsi="Palatino Linotype" w:cs="Arial"/>
          <w:b/>
          <w:color w:val="000000" w:themeColor="text1"/>
        </w:rPr>
        <w:t>recurrente</w:t>
      </w:r>
      <w:r w:rsidRPr="00A22E55">
        <w:rPr>
          <w:rFonts w:ascii="Palatino Linotype" w:hAnsi="Palatino Linotype" w:cs="Arial"/>
          <w:color w:val="000000" w:themeColor="text1"/>
        </w:rPr>
        <w:t xml:space="preserve"> </w:t>
      </w:r>
      <w:r w:rsidRPr="00A22E55">
        <w:rPr>
          <w:rFonts w:ascii="Palatino Linotype" w:hAnsi="Palatino Linotype" w:cs="Arial"/>
        </w:rPr>
        <w:t>en contra de la</w:t>
      </w:r>
      <w:r w:rsidR="007E0581">
        <w:rPr>
          <w:rFonts w:ascii="Palatino Linotype" w:hAnsi="Palatino Linotype" w:cs="Arial"/>
        </w:rPr>
        <w:t xml:space="preserve"> </w:t>
      </w:r>
      <w:r w:rsidRPr="00A22E55">
        <w:rPr>
          <w:rFonts w:ascii="Palatino Linotype" w:hAnsi="Palatino Linotype" w:cs="Arial"/>
        </w:rPr>
        <w:t xml:space="preserve">respuesta a su solicitud de información con número de folio </w:t>
      </w:r>
      <w:r w:rsidR="0018142C">
        <w:rPr>
          <w:rFonts w:ascii="Palatino Linotype" w:hAnsi="Palatino Linotype" w:cs="Arial"/>
          <w:b/>
        </w:rPr>
        <w:t>00025</w:t>
      </w:r>
      <w:r w:rsidRPr="00A22E55">
        <w:rPr>
          <w:rFonts w:ascii="Palatino Linotype" w:hAnsi="Palatino Linotype" w:cs="Arial"/>
          <w:b/>
        </w:rPr>
        <w:t>/</w:t>
      </w:r>
      <w:r w:rsidR="0018142C">
        <w:rPr>
          <w:rFonts w:ascii="Palatino Linotype" w:hAnsi="Palatino Linotype" w:cs="Arial"/>
          <w:b/>
        </w:rPr>
        <w:t>PRD</w:t>
      </w:r>
      <w:r w:rsidR="00003BF2">
        <w:rPr>
          <w:rFonts w:ascii="Palatino Linotype" w:hAnsi="Palatino Linotype" w:cs="Arial"/>
          <w:b/>
        </w:rPr>
        <w:t>/IP/2018</w:t>
      </w:r>
      <w:r w:rsidRPr="00A22E55">
        <w:rPr>
          <w:rFonts w:ascii="Palatino Linotype" w:hAnsi="Palatino Linotype" w:cs="Arial"/>
        </w:rPr>
        <w:t>, por parte de</w:t>
      </w:r>
      <w:r w:rsidR="0018142C">
        <w:rPr>
          <w:rFonts w:ascii="Palatino Linotype" w:hAnsi="Palatino Linotype" w:cs="Arial"/>
        </w:rPr>
        <w:t>l</w:t>
      </w:r>
      <w:r w:rsidRPr="00A22E55">
        <w:rPr>
          <w:rFonts w:ascii="Palatino Linotype" w:hAnsi="Palatino Linotype" w:cs="Arial"/>
        </w:rPr>
        <w:t xml:space="preserve"> </w:t>
      </w:r>
      <w:r w:rsidR="0018142C">
        <w:rPr>
          <w:rFonts w:ascii="Palatino Linotype" w:hAnsi="Palatino Linotype" w:cs="Arial"/>
          <w:b/>
        </w:rPr>
        <w:t>Partido de la Revolución Democrática</w:t>
      </w:r>
      <w:r w:rsidRPr="00A22E55">
        <w:rPr>
          <w:rFonts w:ascii="Palatino Linotype" w:hAnsi="Palatino Linotype" w:cs="Arial"/>
        </w:rPr>
        <w:t xml:space="preserve">, en lo sucesivo el </w:t>
      </w:r>
      <w:r w:rsidRPr="00A22E55">
        <w:rPr>
          <w:rFonts w:ascii="Palatino Linotype" w:hAnsi="Palatino Linotype" w:cs="Arial"/>
          <w:b/>
        </w:rPr>
        <w:t xml:space="preserve">Sujeto Obligado; </w:t>
      </w:r>
      <w:r w:rsidRPr="00A22E55">
        <w:rPr>
          <w:rFonts w:ascii="Palatino Linotype" w:hAnsi="Palatino Linotype" w:cs="Arial"/>
        </w:rPr>
        <w:t>se procede a dictar la presente resolución, con base en lo siguiente.</w:t>
      </w:r>
    </w:p>
    <w:p w14:paraId="54CA7974" w14:textId="77777777" w:rsidR="00945197" w:rsidRPr="00A22E55" w:rsidRDefault="00945197" w:rsidP="00945197">
      <w:pPr>
        <w:pStyle w:val="Prrafodelista"/>
        <w:numPr>
          <w:ilvl w:val="0"/>
          <w:numId w:val="3"/>
        </w:numPr>
        <w:spacing w:before="240" w:after="240" w:line="360" w:lineRule="auto"/>
        <w:ind w:left="1077"/>
        <w:contextualSpacing/>
        <w:jc w:val="center"/>
        <w:rPr>
          <w:rFonts w:ascii="Palatino Linotype" w:hAnsi="Palatino Linotype" w:cs="Arial"/>
          <w:b/>
        </w:rPr>
      </w:pPr>
      <w:r w:rsidRPr="00A22E55">
        <w:rPr>
          <w:rFonts w:ascii="Palatino Linotype" w:hAnsi="Palatino Linotype" w:cs="Arial"/>
          <w:b/>
        </w:rPr>
        <w:t>A N T E C E D E N T E S:</w:t>
      </w:r>
    </w:p>
    <w:p w14:paraId="76A247E8" w14:textId="434D6A9C" w:rsidR="00945197" w:rsidRPr="00A22E55" w:rsidRDefault="00945197" w:rsidP="00945197">
      <w:pPr>
        <w:spacing w:before="240" w:after="240" w:line="360" w:lineRule="auto"/>
        <w:jc w:val="both"/>
        <w:rPr>
          <w:rFonts w:ascii="Palatino Linotype" w:hAnsi="Palatino Linotype" w:cs="Arial"/>
          <w:b/>
        </w:rPr>
      </w:pPr>
      <w:r w:rsidRPr="00A22E55">
        <w:rPr>
          <w:rFonts w:ascii="Palatino Linotype" w:hAnsi="Palatino Linotype" w:cs="Arial"/>
          <w:b/>
        </w:rPr>
        <w:t xml:space="preserve">1. Solicitud de acceso a la información. </w:t>
      </w:r>
      <w:r w:rsidRPr="00A22E55">
        <w:rPr>
          <w:rFonts w:ascii="Palatino Linotype" w:hAnsi="Palatino Linotype" w:cs="Arial"/>
        </w:rPr>
        <w:t xml:space="preserve">Con fecha </w:t>
      </w:r>
      <w:r w:rsidR="0018142C">
        <w:rPr>
          <w:rFonts w:ascii="Palatino Linotype" w:hAnsi="Palatino Linotype" w:cs="Arial"/>
        </w:rPr>
        <w:t>veintisiete</w:t>
      </w:r>
      <w:r>
        <w:rPr>
          <w:rFonts w:ascii="Palatino Linotype" w:hAnsi="Palatino Linotype" w:cs="Arial"/>
        </w:rPr>
        <w:t xml:space="preserve"> </w:t>
      </w:r>
      <w:r w:rsidRPr="00A22E55">
        <w:rPr>
          <w:rFonts w:ascii="Palatino Linotype" w:hAnsi="Palatino Linotype" w:cs="Arial"/>
        </w:rPr>
        <w:t xml:space="preserve">de </w:t>
      </w:r>
      <w:r w:rsidR="0018142C">
        <w:rPr>
          <w:rFonts w:ascii="Palatino Linotype" w:hAnsi="Palatino Linotype" w:cs="Arial"/>
        </w:rPr>
        <w:t>junio</w:t>
      </w:r>
      <w:r w:rsidR="00932A78">
        <w:rPr>
          <w:rFonts w:ascii="Palatino Linotype" w:hAnsi="Palatino Linotype" w:cs="Arial"/>
        </w:rPr>
        <w:t xml:space="preserve"> </w:t>
      </w:r>
      <w:r w:rsidRPr="00A22E55">
        <w:rPr>
          <w:rFonts w:ascii="Palatino Linotype" w:hAnsi="Palatino Linotype" w:cs="Arial"/>
        </w:rPr>
        <w:t xml:space="preserve">de dos mil </w:t>
      </w:r>
      <w:r w:rsidR="00003BF2">
        <w:rPr>
          <w:rFonts w:ascii="Palatino Linotype" w:hAnsi="Palatino Linotype" w:cs="Arial"/>
        </w:rPr>
        <w:t>dieciocho</w:t>
      </w:r>
      <w:r w:rsidR="00853688">
        <w:rPr>
          <w:rFonts w:ascii="Palatino Linotype" w:hAnsi="Palatino Linotype" w:cs="Arial"/>
        </w:rPr>
        <w:t>, la</w:t>
      </w:r>
      <w:r w:rsidRPr="00A22E55">
        <w:rPr>
          <w:rFonts w:ascii="Palatino Linotype" w:hAnsi="Palatino Linotype" w:cs="Arial"/>
        </w:rPr>
        <w:t xml:space="preserve"> </w:t>
      </w:r>
      <w:r w:rsidR="00E91A0F">
        <w:rPr>
          <w:rFonts w:ascii="Palatino Linotype" w:hAnsi="Palatino Linotype" w:cs="Arial"/>
        </w:rPr>
        <w:t>parte</w:t>
      </w:r>
      <w:r w:rsidRPr="00A22E55">
        <w:rPr>
          <w:rFonts w:ascii="Palatino Linotype" w:hAnsi="Palatino Linotype" w:cs="Arial"/>
        </w:rPr>
        <w:t xml:space="preserve"> </w:t>
      </w:r>
      <w:r w:rsidRPr="00A22E55">
        <w:rPr>
          <w:rFonts w:ascii="Palatino Linotype" w:hAnsi="Palatino Linotype" w:cs="Arial"/>
          <w:b/>
        </w:rPr>
        <w:t>recurrente</w:t>
      </w:r>
      <w:r w:rsidRPr="00A22E55">
        <w:rPr>
          <w:rFonts w:ascii="Palatino Linotype" w:hAnsi="Palatino Linotype" w:cs="Arial"/>
        </w:rPr>
        <w:t xml:space="preserve"> formuló solicitud de acceso a información pública al </w:t>
      </w:r>
      <w:r w:rsidRPr="00A22E55">
        <w:rPr>
          <w:rFonts w:ascii="Palatino Linotype" w:hAnsi="Palatino Linotype" w:cs="Arial"/>
          <w:b/>
        </w:rPr>
        <w:t>Sujeto Obligado</w:t>
      </w:r>
      <w:r w:rsidRPr="00A22E55">
        <w:rPr>
          <w:rFonts w:ascii="Palatino Linotype" w:hAnsi="Palatino Linotype" w:cs="Arial"/>
        </w:rPr>
        <w:t xml:space="preserve"> a través del Sistema de Acceso a la Información Mexiquense, en adelante </w:t>
      </w:r>
      <w:r w:rsidRPr="00A22E55">
        <w:rPr>
          <w:rFonts w:ascii="Palatino Linotype" w:hAnsi="Palatino Linotype" w:cs="Arial"/>
          <w:b/>
        </w:rPr>
        <w:t>SAIMEX,</w:t>
      </w:r>
      <w:r w:rsidRPr="00A22E55">
        <w:rPr>
          <w:rFonts w:ascii="Palatino Linotype" w:hAnsi="Palatino Linotype" w:cs="Arial"/>
        </w:rPr>
        <w:t xml:space="preserve">  </w:t>
      </w:r>
      <w:r w:rsidRPr="00A22E55">
        <w:rPr>
          <w:rFonts w:ascii="Palatino Linotype" w:hAnsi="Palatino Linotype" w:cs="Arial"/>
          <w:color w:val="000000" w:themeColor="text1"/>
        </w:rPr>
        <w:t>requiriéndole lo siguiente:</w:t>
      </w:r>
    </w:p>
    <w:p w14:paraId="007763C4" w14:textId="4A32E865" w:rsidR="00945197" w:rsidRPr="0018142C" w:rsidRDefault="00F27DF1" w:rsidP="00971EC5">
      <w:pPr>
        <w:ind w:left="851" w:right="900"/>
        <w:jc w:val="both"/>
        <w:rPr>
          <w:rFonts w:ascii="Palatino Linotype" w:hAnsi="Palatino Linotype" w:cs="Arial"/>
          <w:i/>
          <w:sz w:val="22"/>
          <w:szCs w:val="22"/>
        </w:rPr>
      </w:pPr>
      <w:r w:rsidRPr="00003BF2">
        <w:rPr>
          <w:rFonts w:ascii="Palatino Linotype" w:hAnsi="Palatino Linotype" w:cs="Arial"/>
          <w:i/>
          <w:sz w:val="22"/>
          <w:szCs w:val="22"/>
        </w:rPr>
        <w:t xml:space="preserve"> </w:t>
      </w:r>
      <w:r w:rsidR="00945197" w:rsidRPr="0018142C">
        <w:rPr>
          <w:rFonts w:ascii="Palatino Linotype" w:hAnsi="Palatino Linotype" w:cs="Arial"/>
          <w:i/>
          <w:sz w:val="22"/>
          <w:szCs w:val="22"/>
        </w:rPr>
        <w:t>“</w:t>
      </w:r>
      <w:r w:rsidR="0018142C" w:rsidRPr="0018142C">
        <w:rPr>
          <w:rFonts w:ascii="Palatino Linotype" w:hAnsi="Palatino Linotype"/>
          <w:i/>
          <w:color w:val="000000"/>
          <w:sz w:val="22"/>
          <w:szCs w:val="22"/>
        </w:rPr>
        <w:t>Padrón de militantes y simpatizantes en el municipio de Temascalcingo Plataforma Electoral para el municipio de Temascalcingo Evidencia del cumplimiento de los requisitos de elegibilidad de los candidatos propietarios y suplentes integrantes de la palnilla al Ayuntamiento de Temascalcingo</w:t>
      </w:r>
      <w:r w:rsidR="00E91A0F" w:rsidRPr="0018142C">
        <w:rPr>
          <w:rFonts w:ascii="Palatino Linotype" w:hAnsi="Palatino Linotype"/>
          <w:i/>
          <w:color w:val="000000"/>
          <w:sz w:val="22"/>
          <w:szCs w:val="22"/>
        </w:rPr>
        <w:t>.</w:t>
      </w:r>
      <w:r w:rsidR="00945197" w:rsidRPr="0018142C">
        <w:rPr>
          <w:rFonts w:ascii="Palatino Linotype" w:hAnsi="Palatino Linotype" w:cs="Arial"/>
          <w:i/>
          <w:sz w:val="22"/>
          <w:szCs w:val="22"/>
        </w:rPr>
        <w:t>” (sic)</w:t>
      </w:r>
    </w:p>
    <w:p w14:paraId="57FA3455" w14:textId="6B96C965" w:rsidR="00932A78" w:rsidRDefault="00945197" w:rsidP="00945197">
      <w:pPr>
        <w:spacing w:before="240" w:after="240" w:line="360" w:lineRule="auto"/>
        <w:jc w:val="both"/>
        <w:rPr>
          <w:rFonts w:ascii="Palatino Linotype" w:hAnsi="Palatino Linotype" w:cs="Arial"/>
        </w:rPr>
      </w:pPr>
      <w:r>
        <w:rPr>
          <w:rFonts w:ascii="Palatino Linotype" w:hAnsi="Palatino Linotype" w:cs="Arial"/>
          <w:b/>
        </w:rPr>
        <w:t xml:space="preserve">Modalidad de entrega: </w:t>
      </w:r>
      <w:r w:rsidR="001D0AC5">
        <w:rPr>
          <w:rFonts w:ascii="Palatino Linotype" w:hAnsi="Palatino Linotype" w:cs="Arial"/>
        </w:rPr>
        <w:t>El</w:t>
      </w:r>
      <w:r>
        <w:rPr>
          <w:rFonts w:ascii="Palatino Linotype" w:hAnsi="Palatino Linotype" w:cs="Arial"/>
        </w:rPr>
        <w:t xml:space="preserve"> </w:t>
      </w:r>
      <w:r w:rsidR="00E91A0F">
        <w:rPr>
          <w:rFonts w:ascii="Palatino Linotype" w:hAnsi="Palatino Linotype" w:cs="Arial"/>
        </w:rPr>
        <w:t>solicitante</w:t>
      </w:r>
      <w:r>
        <w:rPr>
          <w:rFonts w:ascii="Palatino Linotype" w:hAnsi="Palatino Linotype" w:cs="Arial"/>
        </w:rPr>
        <w:t xml:space="preserve"> eligió como medio de entrega de la información el SAIMEX.</w:t>
      </w:r>
    </w:p>
    <w:p w14:paraId="671D902E" w14:textId="17CDC853" w:rsidR="00C37876" w:rsidRDefault="00C42946" w:rsidP="00C37876">
      <w:pPr>
        <w:spacing w:before="240" w:after="240" w:line="360" w:lineRule="auto"/>
        <w:jc w:val="both"/>
        <w:rPr>
          <w:rFonts w:ascii="Palatino Linotype" w:hAnsi="Palatino Linotype" w:cs="Arial"/>
        </w:rPr>
      </w:pPr>
      <w:r w:rsidRPr="002F13C7">
        <w:rPr>
          <w:rFonts w:ascii="Palatino Linotype" w:hAnsi="Palatino Linotype" w:cs="Arial"/>
          <w:b/>
        </w:rPr>
        <w:lastRenderedPageBreak/>
        <w:t>2.</w:t>
      </w:r>
      <w:r w:rsidR="007E0581" w:rsidRPr="00A22E55">
        <w:rPr>
          <w:rFonts w:ascii="Palatino Linotype" w:hAnsi="Palatino Linotype" w:cs="Arial"/>
          <w:b/>
        </w:rPr>
        <w:t xml:space="preserve"> Respuesta. </w:t>
      </w:r>
      <w:r w:rsidR="00C37876" w:rsidRPr="00206CCA">
        <w:rPr>
          <w:rFonts w:ascii="Palatino Linotype" w:hAnsi="Palatino Linotype" w:cs="Arial"/>
        </w:rPr>
        <w:t xml:space="preserve">Con fecha </w:t>
      </w:r>
      <w:r w:rsidR="0018142C">
        <w:rPr>
          <w:rFonts w:ascii="Palatino Linotype" w:hAnsi="Palatino Linotype" w:cs="Arial"/>
        </w:rPr>
        <w:t>seis</w:t>
      </w:r>
      <w:r w:rsidR="00C37876" w:rsidRPr="00206CCA">
        <w:rPr>
          <w:rFonts w:ascii="Palatino Linotype" w:hAnsi="Palatino Linotype" w:cs="Arial"/>
        </w:rPr>
        <w:t xml:space="preserve"> de </w:t>
      </w:r>
      <w:r w:rsidR="0018142C">
        <w:rPr>
          <w:rFonts w:ascii="Palatino Linotype" w:hAnsi="Palatino Linotype" w:cs="Arial"/>
        </w:rPr>
        <w:t>jul</w:t>
      </w:r>
      <w:r w:rsidR="00930194">
        <w:rPr>
          <w:rFonts w:ascii="Palatino Linotype" w:hAnsi="Palatino Linotype" w:cs="Arial"/>
        </w:rPr>
        <w:t>io</w:t>
      </w:r>
      <w:r w:rsidR="00003BF2">
        <w:rPr>
          <w:rFonts w:ascii="Palatino Linotype" w:hAnsi="Palatino Linotype" w:cs="Arial"/>
        </w:rPr>
        <w:t xml:space="preserve"> de dos mil dieciocho</w:t>
      </w:r>
      <w:r w:rsidR="00C37876" w:rsidRPr="00206CCA">
        <w:rPr>
          <w:rFonts w:ascii="Palatino Linotype" w:hAnsi="Palatino Linotype" w:cs="Arial"/>
        </w:rPr>
        <w:t xml:space="preserve"> el </w:t>
      </w:r>
      <w:r w:rsidR="00C37876" w:rsidRPr="00206CCA">
        <w:rPr>
          <w:rFonts w:ascii="Palatino Linotype" w:hAnsi="Palatino Linotype" w:cs="Arial"/>
          <w:b/>
        </w:rPr>
        <w:t>Sujeto Obligado</w:t>
      </w:r>
      <w:r w:rsidR="00C37876" w:rsidRPr="00206CCA">
        <w:rPr>
          <w:rFonts w:ascii="Palatino Linotype" w:hAnsi="Palatino Linotype" w:cs="Arial"/>
        </w:rPr>
        <w:t xml:space="preserve"> envió su respuesta a la solicitud de acceso a la información a través del SAIMEX, </w:t>
      </w:r>
      <w:r w:rsidR="00C37876">
        <w:rPr>
          <w:rFonts w:ascii="Palatino Linotype" w:hAnsi="Palatino Linotype" w:cs="Arial"/>
        </w:rPr>
        <w:t>la cual versa como sigue:</w:t>
      </w:r>
    </w:p>
    <w:p w14:paraId="778D356E" w14:textId="09CD8521" w:rsidR="00C37876" w:rsidRPr="0018142C" w:rsidRDefault="00C37876" w:rsidP="00930194">
      <w:pPr>
        <w:ind w:left="851" w:right="900"/>
        <w:jc w:val="both"/>
        <w:rPr>
          <w:rFonts w:ascii="Palatino Linotype" w:hAnsi="Palatino Linotype"/>
          <w:i/>
          <w:color w:val="000000"/>
          <w:sz w:val="22"/>
          <w:szCs w:val="22"/>
        </w:rPr>
      </w:pPr>
      <w:r w:rsidRPr="0018142C">
        <w:rPr>
          <w:rFonts w:ascii="Palatino Linotype" w:hAnsi="Palatino Linotype" w:cs="Arial"/>
          <w:i/>
          <w:sz w:val="22"/>
          <w:szCs w:val="22"/>
        </w:rPr>
        <w:t>“</w:t>
      </w:r>
      <w:r w:rsidR="0018142C" w:rsidRPr="0018142C">
        <w:rPr>
          <w:rFonts w:ascii="Palatino Linotype" w:hAnsi="Palatino Linotype"/>
          <w:i/>
          <w:color w:val="000000"/>
          <w:sz w:val="22"/>
          <w:szCs w:val="22"/>
        </w:rPr>
        <w:t>Por este conducto, en relación a la solicitud de información SAIMEX con folio 25/PRD/IP/2018, hago de su conocimiento que de acuerdo al artículo 12 de la Ley de Transparencia y Acceso a la Información Pública del Estado de México y Municipios la cual prevé que 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por lo anterior se da contestación al requerimiento: 1. Padrón de afiliados de Temascalcingo, (25PRD-1.pdf) 2. Plataforma Electoral para el Municipio de Temascalcingo (3_Plataforma_Municipal_PRD_2018.pdf), así mismo usted puede hacer consulta de esta información a través de la página del Instituto Electoral http://www.ieem.org.mx/2018/PLATAFORMAS-2018/prd.html 3. Evidencia del cumplimiento de los requisitos de elegibilidad de los candidatos propietarios y suplentes integrantes de la planilla al Ayuntamiento de Temascalcingo (EVIDENCIATEMAS.pdf). En este sentido se da respuesta con la información con la se cuenta bajo el principio de máxima publicidad y con el fin de garantizar el derecho humano al acceso a la información</w:t>
      </w:r>
      <w:r w:rsidR="009A167A" w:rsidRPr="0018142C">
        <w:rPr>
          <w:rFonts w:ascii="Palatino Linotype" w:hAnsi="Palatino Linotype"/>
          <w:i/>
          <w:color w:val="000000"/>
          <w:sz w:val="22"/>
          <w:szCs w:val="22"/>
        </w:rPr>
        <w:t>.</w:t>
      </w:r>
      <w:r w:rsidRPr="0018142C">
        <w:rPr>
          <w:rFonts w:ascii="Palatino Linotype" w:hAnsi="Palatino Linotype"/>
          <w:i/>
          <w:color w:val="000000"/>
          <w:sz w:val="22"/>
          <w:szCs w:val="22"/>
        </w:rPr>
        <w:t>” (sic)</w:t>
      </w:r>
    </w:p>
    <w:p w14:paraId="5A3AC73A" w14:textId="77777777" w:rsidR="00A167EA" w:rsidRDefault="00A167EA" w:rsidP="001D0AC5">
      <w:pPr>
        <w:ind w:left="851" w:right="900"/>
        <w:jc w:val="both"/>
        <w:rPr>
          <w:rFonts w:ascii="Palatino Linotype" w:hAnsi="Palatino Linotype"/>
          <w:i/>
          <w:color w:val="000000"/>
          <w:sz w:val="22"/>
          <w:szCs w:val="22"/>
        </w:rPr>
      </w:pPr>
    </w:p>
    <w:p w14:paraId="246E62FA" w14:textId="78D4926E" w:rsidR="00534EA0" w:rsidRDefault="00A167EA" w:rsidP="004375FF">
      <w:pPr>
        <w:spacing w:after="240" w:line="360" w:lineRule="auto"/>
        <w:ind w:right="49"/>
        <w:jc w:val="both"/>
        <w:rPr>
          <w:rFonts w:ascii="Palatino Linotype" w:hAnsi="Palatino Linotype"/>
          <w:color w:val="000000"/>
          <w:szCs w:val="22"/>
        </w:rPr>
      </w:pPr>
      <w:r w:rsidRPr="00A167EA">
        <w:rPr>
          <w:rFonts w:ascii="Palatino Linotype" w:hAnsi="Palatino Linotype"/>
          <w:b/>
          <w:color w:val="000000"/>
          <w:szCs w:val="22"/>
        </w:rPr>
        <w:t xml:space="preserve">Anexos. </w:t>
      </w:r>
      <w:r w:rsidR="00930194">
        <w:rPr>
          <w:rFonts w:ascii="Palatino Linotype" w:hAnsi="Palatino Linotype"/>
          <w:color w:val="000000"/>
          <w:szCs w:val="22"/>
        </w:rPr>
        <w:t>De tal manera que</w:t>
      </w:r>
      <w:r w:rsidR="004375FF">
        <w:rPr>
          <w:rFonts w:ascii="Palatino Linotype" w:hAnsi="Palatino Linotype"/>
          <w:color w:val="000000"/>
          <w:szCs w:val="22"/>
        </w:rPr>
        <w:t xml:space="preserve"> adjuntó</w:t>
      </w:r>
      <w:r w:rsidR="00534EA0">
        <w:rPr>
          <w:rFonts w:ascii="Palatino Linotype" w:hAnsi="Palatino Linotype"/>
          <w:color w:val="000000"/>
          <w:szCs w:val="22"/>
        </w:rPr>
        <w:t xml:space="preserve"> a dicha respuesta los</w:t>
      </w:r>
      <w:r w:rsidR="00BE511B">
        <w:rPr>
          <w:rFonts w:ascii="Palatino Linotype" w:hAnsi="Palatino Linotype"/>
          <w:color w:val="000000"/>
          <w:szCs w:val="22"/>
        </w:rPr>
        <w:t xml:space="preserve"> archivo</w:t>
      </w:r>
      <w:r w:rsidR="00534EA0">
        <w:rPr>
          <w:rFonts w:ascii="Palatino Linotype" w:hAnsi="Palatino Linotype"/>
          <w:color w:val="000000"/>
          <w:szCs w:val="22"/>
        </w:rPr>
        <w:t>s que para mejor referencia se describen a continuación:</w:t>
      </w:r>
    </w:p>
    <w:p w14:paraId="718BA796" w14:textId="74E882B0" w:rsidR="00534EA0" w:rsidRDefault="00534EA0" w:rsidP="004375FF">
      <w:pPr>
        <w:spacing w:after="240" w:line="360" w:lineRule="auto"/>
        <w:ind w:right="49"/>
        <w:jc w:val="both"/>
        <w:rPr>
          <w:rFonts w:ascii="Palatino Linotype" w:hAnsi="Palatino Linotype"/>
        </w:rPr>
      </w:pPr>
      <w:r>
        <w:rPr>
          <w:rFonts w:ascii="Palatino Linotype" w:hAnsi="Palatino Linotype"/>
          <w:color w:val="000000"/>
          <w:szCs w:val="22"/>
        </w:rPr>
        <w:t xml:space="preserve">- </w:t>
      </w:r>
      <w:r w:rsidR="00BE511B" w:rsidRPr="0018142C">
        <w:rPr>
          <w:rFonts w:ascii="Palatino Linotype" w:hAnsi="Palatino Linotype"/>
          <w:i/>
        </w:rPr>
        <w:t>“</w:t>
      </w:r>
      <w:hyperlink r:id="rId8" w:tgtFrame="_blank" w:history="1">
        <w:r w:rsidR="0018142C" w:rsidRPr="0018142C">
          <w:rPr>
            <w:rStyle w:val="Hipervnculo"/>
            <w:rFonts w:ascii="Palatino Linotype" w:hAnsi="Palatino Linotype" w:cs="Arial"/>
            <w:bCs/>
            <w:i/>
            <w:color w:val="auto"/>
            <w:u w:val="none"/>
          </w:rPr>
          <w:t>25PRD-1.pdf</w:t>
        </w:r>
      </w:hyperlink>
      <w:r w:rsidR="00BE511B" w:rsidRPr="0018142C">
        <w:rPr>
          <w:rFonts w:ascii="Palatino Linotype" w:hAnsi="Palatino Linotype"/>
          <w:i/>
        </w:rPr>
        <w:t>”</w:t>
      </w:r>
      <w:r w:rsidR="00003BF2" w:rsidRPr="0018142C">
        <w:rPr>
          <w:rFonts w:ascii="Palatino Linotype" w:hAnsi="Palatino Linotype"/>
          <w:i/>
        </w:rPr>
        <w:t>:</w:t>
      </w:r>
      <w:r>
        <w:rPr>
          <w:rFonts w:ascii="Palatino Linotype" w:hAnsi="Palatino Linotype"/>
        </w:rPr>
        <w:t xml:space="preserve"> </w:t>
      </w:r>
      <w:r w:rsidR="00003BF2">
        <w:rPr>
          <w:rFonts w:ascii="Palatino Linotype" w:hAnsi="Palatino Linotype"/>
        </w:rPr>
        <w:t xml:space="preserve">El cual consiste en </w:t>
      </w:r>
      <w:r w:rsidR="0018142C">
        <w:rPr>
          <w:rFonts w:ascii="Palatino Linotype" w:hAnsi="Palatino Linotype"/>
        </w:rPr>
        <w:t>la respuesta en relación al padrón de afiliados solicitado por el particular, mismo que será objeto de estudio en el considerando correspondiente</w:t>
      </w:r>
      <w:r w:rsidR="003B5FBE">
        <w:rPr>
          <w:rFonts w:ascii="Palatino Linotype" w:hAnsi="Palatino Linotype"/>
        </w:rPr>
        <w:t>.</w:t>
      </w:r>
    </w:p>
    <w:p w14:paraId="66F8CF76" w14:textId="13B344DF" w:rsidR="00534EA0" w:rsidRDefault="00534EA0" w:rsidP="004375FF">
      <w:pPr>
        <w:spacing w:after="240" w:line="360" w:lineRule="auto"/>
        <w:ind w:right="49"/>
        <w:jc w:val="both"/>
        <w:rPr>
          <w:rFonts w:ascii="Palatino Linotype" w:hAnsi="Palatino Linotype"/>
        </w:rPr>
      </w:pPr>
      <w:r>
        <w:rPr>
          <w:rFonts w:ascii="Palatino Linotype" w:hAnsi="Palatino Linotype"/>
        </w:rPr>
        <w:t xml:space="preserve">- </w:t>
      </w:r>
      <w:r w:rsidRPr="0018142C">
        <w:rPr>
          <w:rFonts w:ascii="Palatino Linotype" w:hAnsi="Palatino Linotype"/>
          <w:i/>
          <w:szCs w:val="22"/>
        </w:rPr>
        <w:t>“</w:t>
      </w:r>
      <w:hyperlink r:id="rId9" w:tgtFrame="_blank" w:history="1">
        <w:r w:rsidR="0018142C" w:rsidRPr="0018142C">
          <w:rPr>
            <w:rStyle w:val="Hipervnculo"/>
            <w:rFonts w:ascii="Palatino Linotype" w:hAnsi="Palatino Linotype" w:cs="Arial"/>
            <w:bCs/>
            <w:i/>
            <w:color w:val="auto"/>
            <w:szCs w:val="22"/>
            <w:u w:val="none"/>
          </w:rPr>
          <w:t>EVIDENCIATEMAS.pdf</w:t>
        </w:r>
      </w:hyperlink>
      <w:r w:rsidRPr="0018142C">
        <w:rPr>
          <w:rFonts w:ascii="Palatino Linotype" w:hAnsi="Palatino Linotype"/>
          <w:i/>
          <w:szCs w:val="22"/>
        </w:rPr>
        <w:t>”:</w:t>
      </w:r>
      <w:r>
        <w:rPr>
          <w:rFonts w:ascii="Palatino Linotype" w:hAnsi="Palatino Linotype"/>
          <w:i/>
        </w:rPr>
        <w:t xml:space="preserve"> </w:t>
      </w:r>
      <w:r w:rsidR="00D3664A">
        <w:rPr>
          <w:rFonts w:ascii="Palatino Linotype" w:hAnsi="Palatino Linotype"/>
        </w:rPr>
        <w:t xml:space="preserve">Relativo </w:t>
      </w:r>
      <w:r w:rsidR="0018142C">
        <w:rPr>
          <w:rFonts w:ascii="Palatino Linotype" w:hAnsi="Palatino Linotype"/>
        </w:rPr>
        <w:t>a un archivo de 92 páginas correspondientes al Acuerdo No. IEEM/CG/</w:t>
      </w:r>
      <w:r w:rsidR="0080527F">
        <w:rPr>
          <w:rFonts w:ascii="Palatino Linotype" w:hAnsi="Palatino Linotype"/>
        </w:rPr>
        <w:t xml:space="preserve">104/2018 por el que se resuelve supletoriamente respecto de las solicitudes de registro de las planillas de candidaturas a integrantes de ayuntamientos del Estado de México para el periodo constitucional 2019-2021, </w:t>
      </w:r>
      <w:r w:rsidR="0080527F">
        <w:rPr>
          <w:rFonts w:ascii="Palatino Linotype" w:hAnsi="Palatino Linotype"/>
        </w:rPr>
        <w:lastRenderedPageBreak/>
        <w:t>presentadas por la Coalición Parcial denominada “POR EL ESTADO DE MÉXICO AL FRENTE” integrada por los Partidos Acción Nacional, de la Revolución Democrática y Movimiento Ciudadano; el Acuerdo No. IEEM/CG/127/2018 por el que se resuelve sobre la sustitución de diversas candidaturas a integrantes de ayuntamientos del Estado de México;</w:t>
      </w:r>
      <w:r w:rsidR="007434EC">
        <w:rPr>
          <w:rFonts w:ascii="Palatino Linotype" w:hAnsi="Palatino Linotype"/>
        </w:rPr>
        <w:t xml:space="preserve"> así como,</w:t>
      </w:r>
      <w:r w:rsidR="0080527F">
        <w:rPr>
          <w:rFonts w:ascii="Palatino Linotype" w:hAnsi="Palatino Linotype"/>
        </w:rPr>
        <w:t xml:space="preserve"> </w:t>
      </w:r>
      <w:r w:rsidR="007434EC">
        <w:rPr>
          <w:rFonts w:ascii="Palatino Linotype" w:hAnsi="Palatino Linotype"/>
        </w:rPr>
        <w:t>el Acuerdo No. IEEM/CG/144/2018, por el que se resuelve sobre la sustitución de diversas candidaturas a integrantes de Ayuntamientos del Estado de México para el Proceso Electoral 2017-2018</w:t>
      </w:r>
      <w:r w:rsidR="00D3664A">
        <w:rPr>
          <w:rFonts w:ascii="Palatino Linotype" w:hAnsi="Palatino Linotype"/>
        </w:rPr>
        <w:t>.</w:t>
      </w:r>
    </w:p>
    <w:p w14:paraId="5F65D183" w14:textId="44D9495D" w:rsidR="007434EC" w:rsidRDefault="007434EC" w:rsidP="004375FF">
      <w:pPr>
        <w:spacing w:after="240" w:line="360" w:lineRule="auto"/>
        <w:ind w:right="49"/>
        <w:jc w:val="both"/>
        <w:rPr>
          <w:rFonts w:ascii="Palatino Linotype" w:hAnsi="Palatino Linotype"/>
        </w:rPr>
      </w:pPr>
      <w:r>
        <w:rPr>
          <w:rFonts w:ascii="Palatino Linotype" w:hAnsi="Palatino Linotype"/>
          <w:color w:val="000000"/>
          <w:szCs w:val="22"/>
        </w:rPr>
        <w:t xml:space="preserve">- </w:t>
      </w:r>
      <w:r w:rsidRPr="007434EC">
        <w:rPr>
          <w:rFonts w:ascii="Palatino Linotype" w:hAnsi="Palatino Linotype"/>
          <w:i/>
          <w:szCs w:val="22"/>
        </w:rPr>
        <w:t>“</w:t>
      </w:r>
      <w:hyperlink r:id="rId10" w:tgtFrame="_blank" w:history="1">
        <w:r w:rsidRPr="007434EC">
          <w:rPr>
            <w:rStyle w:val="Hipervnculo"/>
            <w:rFonts w:ascii="Palatino Linotype" w:hAnsi="Palatino Linotype" w:cs="Arial"/>
            <w:bCs/>
            <w:i/>
            <w:color w:val="auto"/>
            <w:szCs w:val="22"/>
            <w:u w:val="none"/>
          </w:rPr>
          <w:t>3_Plataforma_Municipal_PRD_2018.pdf</w:t>
        </w:r>
      </w:hyperlink>
      <w:r w:rsidRPr="007434EC">
        <w:rPr>
          <w:rFonts w:ascii="Palatino Linotype" w:hAnsi="Palatino Linotype"/>
          <w:i/>
          <w:szCs w:val="22"/>
        </w:rPr>
        <w:t>”</w:t>
      </w:r>
      <w:r w:rsidRPr="0018142C">
        <w:rPr>
          <w:rFonts w:ascii="Palatino Linotype" w:hAnsi="Palatino Linotype"/>
          <w:i/>
        </w:rPr>
        <w:t>:</w:t>
      </w:r>
      <w:r>
        <w:rPr>
          <w:rFonts w:ascii="Palatino Linotype" w:hAnsi="Palatino Linotype"/>
        </w:rPr>
        <w:t xml:space="preserve"> El cual consiste en el documento denominado Plataforma Electoral Municipal del Partido de la Revolución Democrática en el Estado de México 2018-2021.</w:t>
      </w:r>
    </w:p>
    <w:p w14:paraId="03E63F50" w14:textId="34E5160B" w:rsidR="00945197" w:rsidRDefault="00B73DA7" w:rsidP="004375FF">
      <w:pPr>
        <w:spacing w:after="240" w:line="360" w:lineRule="auto"/>
        <w:jc w:val="both"/>
        <w:rPr>
          <w:rFonts w:ascii="Palatino Linotype" w:hAnsi="Palatino Linotype" w:cs="Arial"/>
        </w:rPr>
      </w:pPr>
      <w:r>
        <w:rPr>
          <w:rFonts w:ascii="Palatino Linotype" w:hAnsi="Palatino Linotype" w:cs="Arial"/>
          <w:b/>
        </w:rPr>
        <w:t>3</w:t>
      </w:r>
      <w:r w:rsidR="00BE511B">
        <w:rPr>
          <w:rFonts w:ascii="Palatino Linotype" w:hAnsi="Palatino Linotype" w:cs="Arial"/>
          <w:b/>
        </w:rPr>
        <w:t>. Interposición del</w:t>
      </w:r>
      <w:r w:rsidR="00945197" w:rsidRPr="00A22E55">
        <w:rPr>
          <w:rFonts w:ascii="Palatino Linotype" w:hAnsi="Palatino Linotype" w:cs="Arial"/>
          <w:b/>
        </w:rPr>
        <w:t xml:space="preserve"> recurso de revisión. </w:t>
      </w:r>
      <w:r w:rsidR="003E3E6C">
        <w:rPr>
          <w:rFonts w:ascii="Palatino Linotype" w:hAnsi="Palatino Linotype" w:cs="Arial"/>
        </w:rPr>
        <w:t>Inconforme el</w:t>
      </w:r>
      <w:r w:rsidR="00945197" w:rsidRPr="00A22E55">
        <w:rPr>
          <w:rFonts w:ascii="Palatino Linotype" w:hAnsi="Palatino Linotype" w:cs="Arial"/>
        </w:rPr>
        <w:t xml:space="preserve"> solicitante con la</w:t>
      </w:r>
      <w:r w:rsidR="007E0581">
        <w:rPr>
          <w:rFonts w:ascii="Palatino Linotype" w:hAnsi="Palatino Linotype" w:cs="Arial"/>
        </w:rPr>
        <w:t xml:space="preserve"> </w:t>
      </w:r>
      <w:r w:rsidR="00945197" w:rsidRPr="00A22E55">
        <w:rPr>
          <w:rFonts w:ascii="Palatino Linotype" w:hAnsi="Palatino Linotype" w:cs="Arial"/>
        </w:rPr>
        <w:t>respuesta</w:t>
      </w:r>
      <w:r w:rsidR="009A167A">
        <w:rPr>
          <w:rFonts w:ascii="Palatino Linotype" w:hAnsi="Palatino Linotype" w:cs="Arial"/>
        </w:rPr>
        <w:t xml:space="preserve"> otorgada por </w:t>
      </w:r>
      <w:r w:rsidR="00945197" w:rsidRPr="00A22E55">
        <w:rPr>
          <w:rFonts w:ascii="Palatino Linotype" w:hAnsi="Palatino Linotype" w:cs="Arial"/>
        </w:rPr>
        <w:t xml:space="preserve">el </w:t>
      </w:r>
      <w:r w:rsidR="00945197" w:rsidRPr="00FC6583">
        <w:rPr>
          <w:rFonts w:ascii="Palatino Linotype" w:hAnsi="Palatino Linotype" w:cs="Arial"/>
          <w:b/>
        </w:rPr>
        <w:t>Sujeto Obligado</w:t>
      </w:r>
      <w:r w:rsidR="00945197" w:rsidRPr="00A22E55">
        <w:rPr>
          <w:rFonts w:ascii="Palatino Linotype" w:hAnsi="Palatino Linotype" w:cs="Arial"/>
        </w:rPr>
        <w:t xml:space="preserve"> interpuso recurso de revisión a través del SAIMEX con fecha </w:t>
      </w:r>
      <w:r w:rsidR="007434EC">
        <w:rPr>
          <w:rFonts w:ascii="Palatino Linotype" w:hAnsi="Palatino Linotype" w:cs="Arial"/>
        </w:rPr>
        <w:t>nueve</w:t>
      </w:r>
      <w:r w:rsidR="003B5FBE">
        <w:rPr>
          <w:rFonts w:ascii="Palatino Linotype" w:hAnsi="Palatino Linotype" w:cs="Arial"/>
        </w:rPr>
        <w:t xml:space="preserve"> </w:t>
      </w:r>
      <w:r w:rsidR="00945197">
        <w:rPr>
          <w:rFonts w:ascii="Palatino Linotype" w:hAnsi="Palatino Linotype" w:cs="Arial"/>
        </w:rPr>
        <w:t>de</w:t>
      </w:r>
      <w:r w:rsidR="00945197" w:rsidRPr="00A22E55">
        <w:rPr>
          <w:rFonts w:ascii="Palatino Linotype" w:hAnsi="Palatino Linotype" w:cs="Arial"/>
        </w:rPr>
        <w:t xml:space="preserve"> </w:t>
      </w:r>
      <w:r w:rsidR="007434EC">
        <w:rPr>
          <w:rFonts w:ascii="Palatino Linotype" w:hAnsi="Palatino Linotype" w:cs="Arial"/>
        </w:rPr>
        <w:t>jul</w:t>
      </w:r>
      <w:r w:rsidR="003E3E6C">
        <w:rPr>
          <w:rFonts w:ascii="Palatino Linotype" w:hAnsi="Palatino Linotype" w:cs="Arial"/>
        </w:rPr>
        <w:t>io</w:t>
      </w:r>
      <w:r w:rsidR="00D3664A">
        <w:rPr>
          <w:rFonts w:ascii="Palatino Linotype" w:hAnsi="Palatino Linotype" w:cs="Arial"/>
        </w:rPr>
        <w:t xml:space="preserve"> </w:t>
      </w:r>
      <w:r w:rsidR="00945197" w:rsidRPr="00A22E55">
        <w:rPr>
          <w:rFonts w:ascii="Palatino Linotype" w:hAnsi="Palatino Linotype" w:cs="Arial"/>
        </w:rPr>
        <w:t xml:space="preserve">de dos mil </w:t>
      </w:r>
      <w:r w:rsidR="003B5FBE">
        <w:rPr>
          <w:rFonts w:ascii="Palatino Linotype" w:hAnsi="Palatino Linotype" w:cs="Arial"/>
        </w:rPr>
        <w:t>dieciocho</w:t>
      </w:r>
      <w:r w:rsidR="00945197" w:rsidRPr="00A22E55">
        <w:rPr>
          <w:rFonts w:ascii="Palatino Linotype" w:hAnsi="Palatino Linotype" w:cs="Arial"/>
        </w:rPr>
        <w:t>, a través de</w:t>
      </w:r>
      <w:r w:rsidR="006C25BF">
        <w:rPr>
          <w:rFonts w:ascii="Palatino Linotype" w:hAnsi="Palatino Linotype" w:cs="Arial"/>
        </w:rPr>
        <w:t>l</w:t>
      </w:r>
      <w:r w:rsidR="00945197" w:rsidRPr="00A22E55">
        <w:rPr>
          <w:rFonts w:ascii="Palatino Linotype" w:hAnsi="Palatino Linotype" w:cs="Arial"/>
        </w:rPr>
        <w:t xml:space="preserve"> cual expresó lo siguiente:</w:t>
      </w:r>
    </w:p>
    <w:p w14:paraId="3317A200" w14:textId="77777777" w:rsidR="00945197" w:rsidRPr="00A22E55" w:rsidRDefault="00945197" w:rsidP="00945197">
      <w:pPr>
        <w:spacing w:line="360" w:lineRule="auto"/>
        <w:ind w:left="708"/>
        <w:rPr>
          <w:rFonts w:ascii="Palatino Linotype" w:hAnsi="Palatino Linotype" w:cs="Arial"/>
          <w:b/>
        </w:rPr>
      </w:pPr>
      <w:r w:rsidRPr="00A22E55">
        <w:rPr>
          <w:rFonts w:ascii="Palatino Linotype" w:hAnsi="Palatino Linotype" w:cs="Arial"/>
          <w:b/>
        </w:rPr>
        <w:t>a) Acto impugnado.</w:t>
      </w:r>
    </w:p>
    <w:p w14:paraId="2CAEADD9" w14:textId="1B7D2651" w:rsidR="00945197" w:rsidRPr="007434EC" w:rsidRDefault="00945197" w:rsidP="003B5FBE">
      <w:pPr>
        <w:spacing w:after="240"/>
        <w:ind w:left="851" w:right="900"/>
        <w:jc w:val="both"/>
        <w:rPr>
          <w:rFonts w:ascii="Palatino Linotype" w:hAnsi="Palatino Linotype" w:cs="Arial"/>
          <w:i/>
          <w:sz w:val="22"/>
          <w:szCs w:val="22"/>
        </w:rPr>
      </w:pPr>
      <w:r w:rsidRPr="007434EC">
        <w:rPr>
          <w:rFonts w:ascii="Palatino Linotype" w:hAnsi="Palatino Linotype"/>
          <w:i/>
          <w:color w:val="000000"/>
          <w:sz w:val="22"/>
          <w:szCs w:val="22"/>
        </w:rPr>
        <w:t>“</w:t>
      </w:r>
      <w:r w:rsidR="007434EC" w:rsidRPr="007434EC">
        <w:rPr>
          <w:rFonts w:ascii="Palatino Linotype" w:hAnsi="Palatino Linotype"/>
          <w:i/>
          <w:color w:val="000000"/>
          <w:sz w:val="22"/>
          <w:szCs w:val="22"/>
        </w:rPr>
        <w:t>La respuesta parcial entregada por el sujeto obligado</w:t>
      </w:r>
      <w:r w:rsidR="00CE2D9B" w:rsidRPr="007434EC">
        <w:rPr>
          <w:rFonts w:ascii="Palatino Linotype" w:hAnsi="Palatino Linotype"/>
          <w:i/>
          <w:color w:val="000000"/>
          <w:sz w:val="22"/>
          <w:szCs w:val="22"/>
        </w:rPr>
        <w:t>.</w:t>
      </w:r>
      <w:r w:rsidRPr="007434EC">
        <w:rPr>
          <w:rFonts w:ascii="Palatino Linotype" w:hAnsi="Palatino Linotype" w:cs="Arial"/>
          <w:i/>
          <w:sz w:val="22"/>
          <w:szCs w:val="22"/>
        </w:rPr>
        <w:t>” (sic)</w:t>
      </w:r>
    </w:p>
    <w:p w14:paraId="44501B20" w14:textId="77777777" w:rsidR="00945197" w:rsidRPr="00A22E55" w:rsidRDefault="00945197" w:rsidP="00945197">
      <w:pPr>
        <w:spacing w:line="360" w:lineRule="auto"/>
        <w:ind w:left="708"/>
        <w:jc w:val="both"/>
        <w:rPr>
          <w:rFonts w:ascii="Palatino Linotype" w:hAnsi="Palatino Linotype" w:cs="Arial"/>
          <w:b/>
        </w:rPr>
      </w:pPr>
      <w:r w:rsidRPr="00A22E55">
        <w:rPr>
          <w:rFonts w:ascii="Palatino Linotype" w:hAnsi="Palatino Linotype" w:cs="Arial"/>
          <w:b/>
        </w:rPr>
        <w:t>b) Motivos de inconformidad.</w:t>
      </w:r>
    </w:p>
    <w:p w14:paraId="502D646E" w14:textId="3F95B7EA" w:rsidR="00945197" w:rsidRPr="007434EC" w:rsidRDefault="00945197" w:rsidP="003B5FBE">
      <w:pPr>
        <w:ind w:left="851" w:right="900"/>
        <w:jc w:val="both"/>
        <w:rPr>
          <w:rFonts w:ascii="Palatino Linotype" w:hAnsi="Palatino Linotype" w:cs="Arial"/>
          <w:i/>
          <w:sz w:val="22"/>
          <w:szCs w:val="22"/>
        </w:rPr>
      </w:pPr>
      <w:r w:rsidRPr="007434EC">
        <w:rPr>
          <w:rFonts w:ascii="Palatino Linotype" w:hAnsi="Palatino Linotype" w:cs="Arial"/>
          <w:i/>
          <w:sz w:val="22"/>
          <w:szCs w:val="22"/>
        </w:rPr>
        <w:t>“</w:t>
      </w:r>
      <w:r w:rsidR="007434EC" w:rsidRPr="007434EC">
        <w:rPr>
          <w:rFonts w:ascii="Palatino Linotype" w:hAnsi="Palatino Linotype"/>
          <w:i/>
          <w:color w:val="000000"/>
          <w:sz w:val="22"/>
          <w:szCs w:val="22"/>
        </w:rPr>
        <w:t>Omitió entregar el padrón de afiliados y/o simpatizantes del municipio de Temascalcingo, dicha información aun que sea obligacion de generarla algun ente de se su estructura es información que tiene en su poder el sujeto obligado</w:t>
      </w:r>
      <w:r w:rsidR="00CE2D9B" w:rsidRPr="007434EC">
        <w:rPr>
          <w:rFonts w:ascii="Palatino Linotype" w:hAnsi="Palatino Linotype"/>
          <w:i/>
          <w:color w:val="000000"/>
          <w:sz w:val="22"/>
          <w:szCs w:val="22"/>
        </w:rPr>
        <w:t>.</w:t>
      </w:r>
      <w:r w:rsidRPr="007434EC">
        <w:rPr>
          <w:rFonts w:ascii="Palatino Linotype" w:hAnsi="Palatino Linotype" w:cs="Arial"/>
          <w:i/>
          <w:sz w:val="22"/>
          <w:szCs w:val="22"/>
        </w:rPr>
        <w:t>” (sic)</w:t>
      </w:r>
    </w:p>
    <w:p w14:paraId="06FC8678" w14:textId="20AA223D" w:rsidR="00CE2D9B" w:rsidRPr="00CE2D9B" w:rsidRDefault="00CE2D9B" w:rsidP="00CE2D9B">
      <w:pPr>
        <w:ind w:left="851" w:right="900"/>
        <w:jc w:val="both"/>
        <w:rPr>
          <w:rFonts w:ascii="Palatino Linotype" w:hAnsi="Palatino Linotype"/>
          <w:i/>
          <w:sz w:val="22"/>
          <w:szCs w:val="22"/>
          <w:lang w:eastAsia="es-MX"/>
        </w:rPr>
      </w:pPr>
    </w:p>
    <w:p w14:paraId="38A57F17" w14:textId="68A044ED" w:rsidR="00C37876" w:rsidRDefault="003F7C99" w:rsidP="00C37876">
      <w:pPr>
        <w:spacing w:before="240" w:after="240" w:line="360" w:lineRule="auto"/>
        <w:jc w:val="both"/>
        <w:rPr>
          <w:rFonts w:ascii="Palatino Linotype" w:hAnsi="Palatino Linotype"/>
        </w:rPr>
      </w:pPr>
      <w:r>
        <w:rPr>
          <w:rFonts w:ascii="Palatino Linotype" w:hAnsi="Palatino Linotype"/>
          <w:b/>
        </w:rPr>
        <w:t>4</w:t>
      </w:r>
      <w:r w:rsidR="00C37876" w:rsidRPr="005A3029">
        <w:rPr>
          <w:rFonts w:ascii="Palatino Linotype" w:hAnsi="Palatino Linotype"/>
          <w:b/>
        </w:rPr>
        <w:t xml:space="preserve">. Turno. </w:t>
      </w:r>
      <w:r w:rsidR="00C37876" w:rsidRPr="005A3029">
        <w:rPr>
          <w:rFonts w:ascii="Palatino Linotype" w:hAnsi="Palatino Linotype"/>
        </w:rPr>
        <w:t xml:space="preserve">De conformidad con el artículo 185, fracción I de la </w:t>
      </w:r>
      <w:r w:rsidR="00C37876" w:rsidRPr="005A3029">
        <w:rPr>
          <w:rFonts w:ascii="Palatino Linotype" w:hAnsi="Palatino Linotype" w:cs="Arial"/>
        </w:rPr>
        <w:t>Ley de Transparencia y Acceso a la Información Pública del Estado de México y Municipios</w:t>
      </w:r>
      <w:r w:rsidR="006C25BF">
        <w:rPr>
          <w:rFonts w:ascii="Palatino Linotype" w:hAnsi="Palatino Linotype" w:cs="Arial"/>
        </w:rPr>
        <w:t xml:space="preserve">, el recurso de revisión número </w:t>
      </w:r>
      <w:r w:rsidR="007434EC">
        <w:rPr>
          <w:rFonts w:ascii="Palatino Linotype" w:hAnsi="Palatino Linotype" w:cs="Arial"/>
          <w:b/>
        </w:rPr>
        <w:t>02564</w:t>
      </w:r>
      <w:r w:rsidR="00C37876" w:rsidRPr="006C25BF">
        <w:rPr>
          <w:rFonts w:ascii="Palatino Linotype" w:hAnsi="Palatino Linotype" w:cs="Arial"/>
          <w:b/>
        </w:rPr>
        <w:t>/</w:t>
      </w:r>
      <w:r w:rsidR="003B5FBE">
        <w:rPr>
          <w:rFonts w:ascii="Palatino Linotype" w:hAnsi="Palatino Linotype" w:cs="Arial"/>
          <w:b/>
        </w:rPr>
        <w:t>INFOEM/IP/RR/2018</w:t>
      </w:r>
      <w:r w:rsidR="00C37876" w:rsidRPr="005A3029">
        <w:rPr>
          <w:rFonts w:ascii="Palatino Linotype" w:hAnsi="Palatino Linotype" w:cs="Arial"/>
          <w:b/>
        </w:rPr>
        <w:t xml:space="preserve"> </w:t>
      </w:r>
      <w:r w:rsidR="00C37876" w:rsidRPr="005A3029">
        <w:rPr>
          <w:rFonts w:ascii="Palatino Linotype" w:hAnsi="Palatino Linotype" w:cs="Arial"/>
          <w:bCs/>
          <w:lang w:eastAsia="es-MX"/>
        </w:rPr>
        <w:t>fue</w:t>
      </w:r>
      <w:r w:rsidR="00C37876" w:rsidRPr="005A3029">
        <w:rPr>
          <w:rFonts w:ascii="Palatino Linotype" w:hAnsi="Palatino Linotype" w:cs="Arial"/>
          <w:b/>
          <w:bCs/>
          <w:lang w:eastAsia="es-MX"/>
        </w:rPr>
        <w:t xml:space="preserve"> </w:t>
      </w:r>
      <w:r w:rsidR="00C37876" w:rsidRPr="005A3029">
        <w:rPr>
          <w:rFonts w:ascii="Palatino Linotype" w:hAnsi="Palatino Linotype"/>
        </w:rPr>
        <w:t xml:space="preserve">turnado al Comisionado </w:t>
      </w:r>
      <w:r w:rsidR="006C25BF">
        <w:rPr>
          <w:rFonts w:ascii="Palatino Linotype" w:hAnsi="Palatino Linotype"/>
          <w:b/>
        </w:rPr>
        <w:t>Javier Martínez Cruz</w:t>
      </w:r>
      <w:r w:rsidR="00CE2D9B" w:rsidRPr="005A3029">
        <w:rPr>
          <w:rFonts w:ascii="Palatino Linotype" w:hAnsi="Palatino Linotype"/>
        </w:rPr>
        <w:t xml:space="preserve"> </w:t>
      </w:r>
      <w:r w:rsidR="00C37876" w:rsidRPr="005A3029">
        <w:rPr>
          <w:rFonts w:ascii="Palatino Linotype" w:hAnsi="Palatino Linotype"/>
        </w:rPr>
        <w:t>a efecto de que analizara sobre su admisión o su desechamiento.</w:t>
      </w:r>
    </w:p>
    <w:p w14:paraId="40096E39" w14:textId="7876FB04" w:rsidR="00C37876" w:rsidRPr="005A3029" w:rsidRDefault="003F7C99" w:rsidP="00C37876">
      <w:pPr>
        <w:spacing w:before="240" w:after="240" w:line="360" w:lineRule="auto"/>
        <w:jc w:val="both"/>
        <w:rPr>
          <w:rFonts w:ascii="Palatino Linotype" w:hAnsi="Palatino Linotype" w:cs="Arial"/>
        </w:rPr>
      </w:pPr>
      <w:r>
        <w:rPr>
          <w:rFonts w:ascii="Palatino Linotype" w:hAnsi="Palatino Linotype" w:cs="Arial"/>
          <w:b/>
        </w:rPr>
        <w:lastRenderedPageBreak/>
        <w:t>5</w:t>
      </w:r>
      <w:r w:rsidR="00C37876" w:rsidRPr="005A3029">
        <w:rPr>
          <w:rFonts w:ascii="Palatino Linotype" w:hAnsi="Palatino Linotype" w:cs="Arial"/>
          <w:b/>
        </w:rPr>
        <w:t>. Admisión de</w:t>
      </w:r>
      <w:r w:rsidR="0004258A">
        <w:rPr>
          <w:rFonts w:ascii="Palatino Linotype" w:hAnsi="Palatino Linotype" w:cs="Arial"/>
          <w:b/>
        </w:rPr>
        <w:t>l</w:t>
      </w:r>
      <w:r w:rsidR="00C37876" w:rsidRPr="005A3029">
        <w:rPr>
          <w:rFonts w:ascii="Palatino Linotype" w:hAnsi="Palatino Linotype" w:cs="Arial"/>
          <w:b/>
        </w:rPr>
        <w:t xml:space="preserve"> recurso de revisión: </w:t>
      </w:r>
      <w:r w:rsidR="00C37876" w:rsidRPr="005A3029">
        <w:rPr>
          <w:rFonts w:ascii="Palatino Linotype" w:hAnsi="Palatino Linotype" w:cs="Arial"/>
        </w:rPr>
        <w:t xml:space="preserve">En fecha </w:t>
      </w:r>
      <w:r w:rsidR="007434EC">
        <w:rPr>
          <w:rFonts w:ascii="Palatino Linotype" w:hAnsi="Palatino Linotype" w:cs="Arial"/>
        </w:rPr>
        <w:t>trece</w:t>
      </w:r>
      <w:r w:rsidR="003B5FBE">
        <w:rPr>
          <w:rFonts w:ascii="Palatino Linotype" w:hAnsi="Palatino Linotype" w:cs="Arial"/>
        </w:rPr>
        <w:t xml:space="preserve"> </w:t>
      </w:r>
      <w:r w:rsidR="00C37876" w:rsidRPr="005A3029">
        <w:rPr>
          <w:rFonts w:ascii="Palatino Linotype" w:hAnsi="Palatino Linotype" w:cs="Arial"/>
        </w:rPr>
        <w:t xml:space="preserve">de </w:t>
      </w:r>
      <w:r w:rsidR="007434EC">
        <w:rPr>
          <w:rFonts w:ascii="Palatino Linotype" w:hAnsi="Palatino Linotype" w:cs="Arial"/>
        </w:rPr>
        <w:t>jul</w:t>
      </w:r>
      <w:r w:rsidR="003E3E6C">
        <w:rPr>
          <w:rFonts w:ascii="Palatino Linotype" w:hAnsi="Palatino Linotype" w:cs="Arial"/>
        </w:rPr>
        <w:t>io</w:t>
      </w:r>
      <w:r w:rsidR="003B5FBE">
        <w:rPr>
          <w:rFonts w:ascii="Palatino Linotype" w:hAnsi="Palatino Linotype" w:cs="Arial"/>
        </w:rPr>
        <w:t xml:space="preserve"> de dos mil dieciocho</w:t>
      </w:r>
      <w:r w:rsidR="006C25BF">
        <w:rPr>
          <w:rFonts w:ascii="Palatino Linotype" w:hAnsi="Palatino Linotype" w:cs="Arial"/>
        </w:rPr>
        <w:t xml:space="preserve"> el Comisionado ponente</w:t>
      </w:r>
      <w:r w:rsidR="00702929">
        <w:rPr>
          <w:rFonts w:ascii="Palatino Linotype" w:hAnsi="Palatino Linotype" w:cs="Arial"/>
        </w:rPr>
        <w:t>, ad</w:t>
      </w:r>
      <w:r w:rsidR="006C25BF">
        <w:rPr>
          <w:rFonts w:ascii="Palatino Linotype" w:hAnsi="Palatino Linotype" w:cs="Arial"/>
        </w:rPr>
        <w:t>mitió a trámite el</w:t>
      </w:r>
      <w:r w:rsidR="00C37876" w:rsidRPr="005A3029">
        <w:rPr>
          <w:rFonts w:ascii="Palatino Linotype" w:hAnsi="Palatino Linotype" w:cs="Arial"/>
        </w:rPr>
        <w:t xml:space="preserve"> recurso de revisión que ahora se resuelve, dando un plazo máximo de siete días hábiles para que las partes manifestaran lo que a su derecho resultara conveniente, ofrecieran pruebas, </w:t>
      </w:r>
      <w:r w:rsidR="00C37876">
        <w:rPr>
          <w:rFonts w:ascii="Palatino Linotype" w:hAnsi="Palatino Linotype" w:cs="Arial"/>
        </w:rPr>
        <w:t>formularan</w:t>
      </w:r>
      <w:r w:rsidR="00C37876" w:rsidRPr="005A3029">
        <w:rPr>
          <w:rFonts w:ascii="Palatino Linotype" w:hAnsi="Palatino Linotype" w:cs="Arial"/>
        </w:rPr>
        <w:t xml:space="preserve"> alegatos y el Sujeto Obligado presentara su informe justificado.</w:t>
      </w:r>
    </w:p>
    <w:p w14:paraId="47AEB4B7" w14:textId="3AF783CF" w:rsidR="00363F80" w:rsidRDefault="003F7C99" w:rsidP="00363F80">
      <w:pPr>
        <w:spacing w:after="240" w:line="360" w:lineRule="auto"/>
        <w:jc w:val="both"/>
        <w:rPr>
          <w:rFonts w:ascii="Palatino Linotype" w:hAnsi="Palatino Linotype"/>
        </w:rPr>
      </w:pPr>
      <w:r w:rsidRPr="00C46442">
        <w:rPr>
          <w:rFonts w:ascii="Palatino Linotype" w:hAnsi="Palatino Linotype" w:cs="Arial"/>
          <w:b/>
        </w:rPr>
        <w:t>6</w:t>
      </w:r>
      <w:r w:rsidR="00C37876" w:rsidRPr="00C46442">
        <w:rPr>
          <w:rFonts w:ascii="Palatino Linotype" w:hAnsi="Palatino Linotype" w:cs="Arial"/>
          <w:b/>
        </w:rPr>
        <w:t>. Manifestaciones</w:t>
      </w:r>
      <w:r w:rsidR="00C37876" w:rsidRPr="00C46442">
        <w:rPr>
          <w:rFonts w:ascii="Palatino Linotype" w:hAnsi="Palatino Linotype" w:cs="Arial"/>
        </w:rPr>
        <w:t>: De</w:t>
      </w:r>
      <w:r w:rsidR="00702929" w:rsidRPr="00C46442">
        <w:rPr>
          <w:rFonts w:ascii="Palatino Linotype" w:hAnsi="Palatino Linotype" w:cs="Arial"/>
        </w:rPr>
        <w:t xml:space="preserve"> </w:t>
      </w:r>
      <w:r w:rsidR="004375FF" w:rsidRPr="00C46442">
        <w:rPr>
          <w:rFonts w:ascii="Palatino Linotype" w:hAnsi="Palatino Linotype" w:cs="Arial"/>
        </w:rPr>
        <w:t>las constancias que integran el</w:t>
      </w:r>
      <w:r w:rsidR="00C37876" w:rsidRPr="00C46442">
        <w:rPr>
          <w:rFonts w:ascii="Palatino Linotype" w:hAnsi="Palatino Linotype" w:cs="Arial"/>
        </w:rPr>
        <w:t xml:space="preserve"> expediente en que se actúa se advierte que </w:t>
      </w:r>
      <w:r w:rsidR="006C25BF" w:rsidRPr="00C46442">
        <w:rPr>
          <w:rFonts w:ascii="Palatino Linotype" w:hAnsi="Palatino Linotype" w:cs="Arial"/>
        </w:rPr>
        <w:t>en fecha</w:t>
      </w:r>
      <w:r w:rsidR="007434EC">
        <w:rPr>
          <w:rFonts w:ascii="Palatino Linotype" w:hAnsi="Palatino Linotype" w:cs="Arial"/>
        </w:rPr>
        <w:t>s</w:t>
      </w:r>
      <w:r w:rsidR="006C25BF" w:rsidRPr="00C46442">
        <w:rPr>
          <w:rFonts w:ascii="Palatino Linotype" w:hAnsi="Palatino Linotype" w:cs="Arial"/>
        </w:rPr>
        <w:t xml:space="preserve"> </w:t>
      </w:r>
      <w:r w:rsidR="007434EC">
        <w:rPr>
          <w:rFonts w:ascii="Palatino Linotype" w:hAnsi="Palatino Linotype" w:cs="Arial"/>
        </w:rPr>
        <w:t>veintisiete de julio y quince</w:t>
      </w:r>
      <w:r w:rsidR="006C25BF" w:rsidRPr="00C46442">
        <w:rPr>
          <w:rFonts w:ascii="Palatino Linotype" w:hAnsi="Palatino Linotype" w:cs="Arial"/>
        </w:rPr>
        <w:t xml:space="preserve"> de </w:t>
      </w:r>
      <w:r w:rsidR="007434EC">
        <w:rPr>
          <w:rFonts w:ascii="Palatino Linotype" w:hAnsi="Palatino Linotype" w:cs="Arial"/>
        </w:rPr>
        <w:t>agosto</w:t>
      </w:r>
      <w:r w:rsidR="003B5FBE">
        <w:rPr>
          <w:rFonts w:ascii="Palatino Linotype" w:hAnsi="Palatino Linotype" w:cs="Arial"/>
        </w:rPr>
        <w:t xml:space="preserve"> de dos mil dieciocho</w:t>
      </w:r>
      <w:r w:rsidR="006C25BF" w:rsidRPr="00C46442">
        <w:rPr>
          <w:rFonts w:ascii="Palatino Linotype" w:hAnsi="Palatino Linotype" w:cs="Arial"/>
        </w:rPr>
        <w:t xml:space="preserve"> el Sujeto Oblig</w:t>
      </w:r>
      <w:r w:rsidR="00C46442" w:rsidRPr="00C46442">
        <w:rPr>
          <w:rFonts w:ascii="Palatino Linotype" w:hAnsi="Palatino Linotype" w:cs="Arial"/>
        </w:rPr>
        <w:t>a</w:t>
      </w:r>
      <w:r w:rsidR="007434EC">
        <w:rPr>
          <w:rFonts w:ascii="Palatino Linotype" w:hAnsi="Palatino Linotype" w:cs="Arial"/>
        </w:rPr>
        <w:t>do envió a través del Saimex los</w:t>
      </w:r>
      <w:r w:rsidR="006C25BF" w:rsidRPr="00C46442">
        <w:rPr>
          <w:rFonts w:ascii="Palatino Linotype" w:hAnsi="Palatino Linotype" w:cs="Arial"/>
        </w:rPr>
        <w:t xml:space="preserve"> archivo</w:t>
      </w:r>
      <w:r w:rsidR="007434EC">
        <w:rPr>
          <w:rFonts w:ascii="Palatino Linotype" w:hAnsi="Palatino Linotype" w:cs="Arial"/>
        </w:rPr>
        <w:t>s</w:t>
      </w:r>
      <w:r w:rsidR="006C25BF" w:rsidRPr="00C46442">
        <w:rPr>
          <w:rFonts w:ascii="Palatino Linotype" w:hAnsi="Palatino Linotype" w:cs="Arial"/>
        </w:rPr>
        <w:t xml:space="preserve"> “</w:t>
      </w:r>
      <w:r w:rsidR="007434EC">
        <w:rPr>
          <w:rFonts w:ascii="Palatino Linotype" w:hAnsi="Palatino Linotype" w:cs="Arial"/>
          <w:i/>
        </w:rPr>
        <w:t>PRD252018.pdf</w:t>
      </w:r>
      <w:r w:rsidR="003E3E6C">
        <w:rPr>
          <w:rFonts w:ascii="Palatino Linotype" w:hAnsi="Palatino Linotype" w:cs="Arial"/>
          <w:i/>
        </w:rPr>
        <w:t>”</w:t>
      </w:r>
      <w:r w:rsidR="003723EF">
        <w:rPr>
          <w:rFonts w:ascii="Palatino Linotype" w:hAnsi="Palatino Linotype" w:cs="Arial"/>
        </w:rPr>
        <w:t xml:space="preserve"> y </w:t>
      </w:r>
      <w:r w:rsidR="003723EF" w:rsidRPr="00C46442">
        <w:rPr>
          <w:rFonts w:ascii="Palatino Linotype" w:hAnsi="Palatino Linotype" w:cs="Arial"/>
        </w:rPr>
        <w:t>“</w:t>
      </w:r>
      <w:r w:rsidR="003723EF">
        <w:rPr>
          <w:rFonts w:ascii="Palatino Linotype" w:hAnsi="Palatino Linotype" w:cs="Arial"/>
        </w:rPr>
        <w:t>25</w:t>
      </w:r>
      <w:r w:rsidR="003723EF">
        <w:rPr>
          <w:rFonts w:ascii="Palatino Linotype" w:hAnsi="Palatino Linotype" w:cs="Arial"/>
          <w:i/>
        </w:rPr>
        <w:t>PRD-1.pdf”</w:t>
      </w:r>
      <w:r w:rsidR="003B5FBE">
        <w:rPr>
          <w:rFonts w:ascii="Palatino Linotype" w:hAnsi="Palatino Linotype" w:cs="Arial"/>
          <w:i/>
        </w:rPr>
        <w:t xml:space="preserve">, </w:t>
      </w:r>
      <w:r w:rsidR="003723EF">
        <w:rPr>
          <w:rFonts w:ascii="Palatino Linotype" w:hAnsi="Palatino Linotype" w:cs="Arial"/>
        </w:rPr>
        <w:t>los</w:t>
      </w:r>
      <w:r w:rsidR="00C46442" w:rsidRPr="003B5FBE">
        <w:rPr>
          <w:rFonts w:ascii="Palatino Linotype" w:hAnsi="Palatino Linotype"/>
        </w:rPr>
        <w:t xml:space="preserve"> </w:t>
      </w:r>
      <w:r w:rsidR="003B5FBE">
        <w:rPr>
          <w:rFonts w:ascii="Palatino Linotype" w:hAnsi="Palatino Linotype"/>
        </w:rPr>
        <w:t>cual</w:t>
      </w:r>
      <w:r w:rsidR="003723EF">
        <w:rPr>
          <w:rFonts w:ascii="Palatino Linotype" w:hAnsi="Palatino Linotype"/>
        </w:rPr>
        <w:t>es</w:t>
      </w:r>
      <w:r w:rsidR="003B5FBE">
        <w:rPr>
          <w:rFonts w:ascii="Palatino Linotype" w:hAnsi="Palatino Linotype"/>
        </w:rPr>
        <w:t xml:space="preserve"> </w:t>
      </w:r>
      <w:r w:rsidR="003723EF">
        <w:rPr>
          <w:rFonts w:ascii="Palatino Linotype" w:hAnsi="Palatino Linotype"/>
        </w:rPr>
        <w:t>contienen la misma información que fue entregad</w:t>
      </w:r>
      <w:r w:rsidR="00D70F8F">
        <w:rPr>
          <w:rFonts w:ascii="Palatino Linotype" w:hAnsi="Palatino Linotype"/>
        </w:rPr>
        <w:t>a</w:t>
      </w:r>
      <w:r w:rsidR="003723EF">
        <w:rPr>
          <w:rFonts w:ascii="Palatino Linotype" w:hAnsi="Palatino Linotype"/>
        </w:rPr>
        <w:t xml:space="preserve"> en la respuesta mediante el archivo </w:t>
      </w:r>
      <w:r w:rsidR="003723EF" w:rsidRPr="0018142C">
        <w:rPr>
          <w:rFonts w:ascii="Palatino Linotype" w:hAnsi="Palatino Linotype"/>
          <w:i/>
        </w:rPr>
        <w:t>“</w:t>
      </w:r>
      <w:hyperlink r:id="rId11" w:tgtFrame="_blank" w:history="1">
        <w:r w:rsidR="003723EF" w:rsidRPr="0018142C">
          <w:rPr>
            <w:rStyle w:val="Hipervnculo"/>
            <w:rFonts w:ascii="Palatino Linotype" w:hAnsi="Palatino Linotype" w:cs="Arial"/>
            <w:bCs/>
            <w:i/>
            <w:color w:val="auto"/>
            <w:u w:val="none"/>
          </w:rPr>
          <w:t>25PRD-1.pdf</w:t>
        </w:r>
      </w:hyperlink>
      <w:r w:rsidR="003723EF" w:rsidRPr="0018142C">
        <w:rPr>
          <w:rFonts w:ascii="Palatino Linotype" w:hAnsi="Palatino Linotype"/>
          <w:i/>
        </w:rPr>
        <w:t>”</w:t>
      </w:r>
      <w:r w:rsidR="003E3E6C">
        <w:rPr>
          <w:rFonts w:ascii="Palatino Linotype" w:hAnsi="Palatino Linotype"/>
        </w:rPr>
        <w:t>,</w:t>
      </w:r>
      <w:r w:rsidR="00981FE6">
        <w:rPr>
          <w:rFonts w:ascii="Palatino Linotype" w:hAnsi="Palatino Linotype"/>
        </w:rPr>
        <w:t xml:space="preserve"> por tal motivo no fue necesario ponerlo</w:t>
      </w:r>
      <w:r w:rsidR="003723EF">
        <w:rPr>
          <w:rFonts w:ascii="Palatino Linotype" w:hAnsi="Palatino Linotype"/>
        </w:rPr>
        <w:t>s</w:t>
      </w:r>
      <w:r w:rsidR="00981FE6">
        <w:rPr>
          <w:rFonts w:ascii="Palatino Linotype" w:hAnsi="Palatino Linotype"/>
        </w:rPr>
        <w:t xml:space="preserve"> a la vista del recurrente por no actualizarse el supuesto de la fracción III del artículo 185 de la Ley de Transparencia y Acceso a la Información Pública del Estado de México y Municipios.</w:t>
      </w:r>
    </w:p>
    <w:p w14:paraId="12B0DDC3" w14:textId="64C46B31" w:rsidR="00A864CA" w:rsidRPr="00363F80" w:rsidRDefault="003E3E6C" w:rsidP="00363F80">
      <w:pPr>
        <w:spacing w:after="240" w:line="360" w:lineRule="auto"/>
        <w:jc w:val="both"/>
        <w:rPr>
          <w:rFonts w:ascii="Palatino Linotype" w:hAnsi="Palatino Linotype"/>
        </w:rPr>
      </w:pPr>
      <w:r>
        <w:rPr>
          <w:rFonts w:ascii="Palatino Linotype" w:hAnsi="Palatino Linotype" w:cs="Arial"/>
        </w:rPr>
        <w:t>Por su parte el</w:t>
      </w:r>
      <w:r w:rsidR="00981FE6">
        <w:rPr>
          <w:rFonts w:ascii="Palatino Linotype" w:hAnsi="Palatino Linotype" w:cs="Arial"/>
        </w:rPr>
        <w:t xml:space="preserve"> recurrente no hizo valer alegato alguno, ni ofreció pruebas en el plazo concedido para tal efecto</w:t>
      </w:r>
      <w:r w:rsidR="00A864CA">
        <w:rPr>
          <w:rFonts w:ascii="Palatino Linotype" w:hAnsi="Palatino Linotype" w:cs="Arial"/>
        </w:rPr>
        <w:t>.</w:t>
      </w:r>
    </w:p>
    <w:p w14:paraId="489164F1" w14:textId="55D35B07" w:rsidR="00C37876" w:rsidRDefault="00582AA6" w:rsidP="00C37876">
      <w:pPr>
        <w:spacing w:before="240" w:after="240" w:line="360" w:lineRule="auto"/>
        <w:jc w:val="both"/>
        <w:rPr>
          <w:rFonts w:ascii="Palatino Linotype" w:hAnsi="Palatino Linotype"/>
        </w:rPr>
      </w:pPr>
      <w:r>
        <w:rPr>
          <w:rFonts w:ascii="Palatino Linotype" w:hAnsi="Palatino Linotype"/>
          <w:b/>
        </w:rPr>
        <w:t>7</w:t>
      </w:r>
      <w:r w:rsidR="00C37876" w:rsidRPr="005A3029">
        <w:rPr>
          <w:rFonts w:ascii="Palatino Linotype" w:hAnsi="Palatino Linotype"/>
          <w:b/>
        </w:rPr>
        <w:t xml:space="preserve">. Cierre de instrucción. </w:t>
      </w:r>
      <w:r w:rsidR="002557B0">
        <w:rPr>
          <w:rFonts w:ascii="Palatino Linotype" w:hAnsi="Palatino Linotype"/>
        </w:rPr>
        <w:t xml:space="preserve">En fecha </w:t>
      </w:r>
      <w:r w:rsidR="003723EF">
        <w:rPr>
          <w:rFonts w:ascii="Palatino Linotype" w:hAnsi="Palatino Linotype"/>
        </w:rPr>
        <w:t>dieciséis</w:t>
      </w:r>
      <w:r w:rsidR="00363F80">
        <w:rPr>
          <w:rFonts w:ascii="Palatino Linotype" w:hAnsi="Palatino Linotype"/>
        </w:rPr>
        <w:t xml:space="preserve"> </w:t>
      </w:r>
      <w:r w:rsidR="00C37876">
        <w:rPr>
          <w:rFonts w:ascii="Palatino Linotype" w:hAnsi="Palatino Linotype"/>
        </w:rPr>
        <w:t xml:space="preserve">de </w:t>
      </w:r>
      <w:r w:rsidR="003E3E6C">
        <w:rPr>
          <w:rFonts w:ascii="Palatino Linotype" w:hAnsi="Palatino Linotype"/>
        </w:rPr>
        <w:t>agosto</w:t>
      </w:r>
      <w:r w:rsidR="00981FE6">
        <w:rPr>
          <w:rFonts w:ascii="Palatino Linotype" w:hAnsi="Palatino Linotype"/>
        </w:rPr>
        <w:t xml:space="preserve"> de dos mil dieciocho</w:t>
      </w:r>
      <w:r w:rsidR="00C37876" w:rsidRPr="005A3029">
        <w:rPr>
          <w:rFonts w:ascii="Palatino Linotype" w:hAnsi="Palatino Linotype"/>
        </w:rPr>
        <w:t xml:space="preserve"> el Comisionado ponente determinó el cierre de instrucción en términos de la fracción VI  del artículo 18</w:t>
      </w:r>
      <w:r>
        <w:rPr>
          <w:rFonts w:ascii="Palatino Linotype" w:hAnsi="Palatino Linotype"/>
        </w:rPr>
        <w:t>5 de la Ley de Transparencia y Acceso a la I</w:t>
      </w:r>
      <w:r w:rsidR="00C37876" w:rsidRPr="005A3029">
        <w:rPr>
          <w:rFonts w:ascii="Palatino Linotype" w:hAnsi="Palatino Linotype"/>
        </w:rPr>
        <w:t>nformación Pública del Estado de México y Municipios.</w:t>
      </w:r>
    </w:p>
    <w:p w14:paraId="3A576E9C" w14:textId="77777777" w:rsidR="00945197" w:rsidRPr="00A22E55" w:rsidRDefault="00945197" w:rsidP="00945197">
      <w:pPr>
        <w:pStyle w:val="Prrafodelista"/>
        <w:numPr>
          <w:ilvl w:val="0"/>
          <w:numId w:val="3"/>
        </w:numPr>
        <w:spacing w:before="240" w:after="240" w:line="360" w:lineRule="auto"/>
        <w:ind w:left="720"/>
        <w:contextualSpacing/>
        <w:jc w:val="center"/>
        <w:rPr>
          <w:rFonts w:ascii="Palatino Linotype" w:hAnsi="Palatino Linotype" w:cs="Arial"/>
          <w:b/>
        </w:rPr>
      </w:pPr>
      <w:r w:rsidRPr="00A22E55">
        <w:rPr>
          <w:rFonts w:ascii="Palatino Linotype" w:hAnsi="Palatino Linotype" w:cs="Arial"/>
          <w:b/>
        </w:rPr>
        <w:t>C O N S I D E R A N D O:</w:t>
      </w:r>
    </w:p>
    <w:p w14:paraId="0A5583EF" w14:textId="36C77AB6" w:rsidR="00B81B24" w:rsidRDefault="00B81B24" w:rsidP="00875966">
      <w:pPr>
        <w:spacing w:before="240" w:after="240" w:line="360" w:lineRule="auto"/>
        <w:jc w:val="both"/>
        <w:rPr>
          <w:rFonts w:ascii="Palatino Linotype" w:hAnsi="Palatino Linotype"/>
          <w:shd w:val="clear" w:color="auto" w:fill="FFFFFF"/>
        </w:rPr>
      </w:pPr>
      <w:r w:rsidRPr="00004432">
        <w:rPr>
          <w:rFonts w:ascii="Palatino Linotype" w:hAnsi="Palatino Linotype" w:cs="Arial"/>
          <w:b/>
        </w:rPr>
        <w:t xml:space="preserve">Primero. Competencia. </w:t>
      </w:r>
      <w:r w:rsidRPr="00004432">
        <w:rPr>
          <w:rFonts w:ascii="Palatino Linotype" w:hAnsi="Palatino Linotype"/>
          <w:shd w:val="clear" w:color="auto" w:fill="FFFFFF"/>
        </w:rPr>
        <w:t xml:space="preserve">El Instituto de Transparencia, Acceso a la Información Pública y Protección de Datos Personales del Estado de México y Municipios, es </w:t>
      </w:r>
      <w:r w:rsidRPr="00004432">
        <w:rPr>
          <w:rFonts w:ascii="Palatino Linotype" w:hAnsi="Palatino Linotype"/>
          <w:shd w:val="clear" w:color="auto" w:fill="FFFFFF"/>
        </w:rPr>
        <w:lastRenderedPageBreak/>
        <w:t>competente para conocer</w:t>
      </w:r>
      <w:r w:rsidR="00702929">
        <w:rPr>
          <w:rFonts w:ascii="Palatino Linotype" w:hAnsi="Palatino Linotype"/>
          <w:shd w:val="clear" w:color="auto" w:fill="FFFFFF"/>
        </w:rPr>
        <w:t xml:space="preserve"> y resolver los</w:t>
      </w:r>
      <w:r w:rsidRPr="00004432">
        <w:rPr>
          <w:rFonts w:ascii="Palatino Linotype" w:hAnsi="Palatino Linotype"/>
          <w:shd w:val="clear" w:color="auto" w:fill="FFFFFF"/>
        </w:rPr>
        <w:t xml:space="preserve"> presente</w:t>
      </w:r>
      <w:r w:rsidR="00702929">
        <w:rPr>
          <w:rFonts w:ascii="Palatino Linotype" w:hAnsi="Palatino Linotype"/>
          <w:shd w:val="clear" w:color="auto" w:fill="FFFFFF"/>
        </w:rPr>
        <w:t>s</w:t>
      </w:r>
      <w:r w:rsidRPr="00004432">
        <w:rPr>
          <w:rFonts w:ascii="Palatino Linotype" w:hAnsi="Palatino Linotype"/>
          <w:shd w:val="clear" w:color="auto" w:fill="FFFFFF"/>
        </w:rPr>
        <w:t xml:space="preserve"> recurso</w:t>
      </w:r>
      <w:r w:rsidR="00702929">
        <w:rPr>
          <w:rFonts w:ascii="Palatino Linotype" w:hAnsi="Palatino Linotype"/>
          <w:shd w:val="clear" w:color="auto" w:fill="FFFFFF"/>
        </w:rPr>
        <w:t>s</w:t>
      </w:r>
      <w:r w:rsidRPr="00004432">
        <w:rPr>
          <w:rFonts w:ascii="Palatino Linotype" w:hAnsi="Palatino Linotype"/>
          <w:shd w:val="clear" w:color="auto" w:fill="FFFFFF"/>
        </w:rPr>
        <w:t xml:space="preserve"> de revisión interpuesto</w:t>
      </w:r>
      <w:r w:rsidR="00702929">
        <w:rPr>
          <w:rFonts w:ascii="Palatino Linotype" w:hAnsi="Palatino Linotype"/>
          <w:shd w:val="clear" w:color="auto" w:fill="FFFFFF"/>
        </w:rPr>
        <w:t>s</w:t>
      </w:r>
      <w:r w:rsidRPr="00004432">
        <w:rPr>
          <w:rFonts w:ascii="Palatino Linotype" w:hAnsi="Palatino Linotype"/>
          <w:shd w:val="clear" w:color="auto" w:fill="FFFFFF"/>
        </w:rPr>
        <w:t xml:space="preserve"> por la parte recurrente, conforme a lo dispuesto en los artículos 6, apartado A de la Constitución Política de los Estados Unidos Mexicanos; 5, párrafos </w:t>
      </w:r>
      <w:r w:rsidR="00996454">
        <w:rPr>
          <w:rFonts w:ascii="Palatino Linotype" w:hAnsi="Palatino Linotype"/>
          <w:shd w:val="clear" w:color="auto" w:fill="FFFFFF"/>
        </w:rPr>
        <w:t>vigésimo, vigésimo primero y vigésimo segundo</w:t>
      </w:r>
      <w:r w:rsidRPr="00004432">
        <w:rPr>
          <w:rFonts w:ascii="Palatino Linotype" w:hAnsi="Palatino Linotype"/>
          <w:shd w:val="clear" w:color="auto" w:fill="FFFFFF"/>
        </w:rPr>
        <w:t xml:space="preserve">, fracciones IV y V de la Constitución Política del Estado Libre y Soberano de México; 1, 2, fracción II; 13,  29, 36, fracciones I y II; 176, 178, 179, 181 párrafo tercero y 185 de la Ley Transparencia y Acceso a la Información Pública </w:t>
      </w:r>
      <w:r w:rsidR="00582AA6">
        <w:rPr>
          <w:rFonts w:ascii="Palatino Linotype" w:hAnsi="Palatino Linotype"/>
          <w:shd w:val="clear" w:color="auto" w:fill="FFFFFF"/>
        </w:rPr>
        <w:t>del Estado de México y Municipios</w:t>
      </w:r>
      <w:r w:rsidRPr="00004432">
        <w:rPr>
          <w:rFonts w:ascii="Palatino Linotype" w:hAnsi="Palatino Linotype"/>
          <w:shd w:val="clear" w:color="auto" w:fill="FFFFFF"/>
        </w:rPr>
        <w:t>;</w:t>
      </w:r>
      <w:r w:rsidRPr="00004432">
        <w:rPr>
          <w:rStyle w:val="apple-converted-space"/>
          <w:rFonts w:ascii="Palatino Linotype" w:hAnsi="Palatino Linotype"/>
          <w:shd w:val="clear" w:color="auto" w:fill="FFFFFF"/>
        </w:rPr>
        <w:t> </w:t>
      </w:r>
      <w:r w:rsidR="008D799D" w:rsidRPr="00C34F63">
        <w:rPr>
          <w:rFonts w:ascii="Palatino Linotype" w:hAnsi="Palatino Linotype" w:cs="Arial"/>
        </w:rPr>
        <w:t xml:space="preserve">9, fracciones I y XXIV y 11 </w:t>
      </w:r>
      <w:r w:rsidRPr="00004432">
        <w:rPr>
          <w:rFonts w:ascii="Palatino Linotype" w:hAnsi="Palatino Linotype"/>
          <w:shd w:val="clear" w:color="auto" w:fill="FFFFFF"/>
        </w:rPr>
        <w:t>del Reglamento Interior del Instituto de Transparencia, Acceso a la Información Pública y Protección de Datos Personales del Estado de México y Municipios.</w:t>
      </w:r>
    </w:p>
    <w:p w14:paraId="1F63828F" w14:textId="0091E299" w:rsidR="00BA2369" w:rsidRDefault="00BA2369" w:rsidP="00BA2369">
      <w:pPr>
        <w:spacing w:before="240" w:after="240" w:line="360" w:lineRule="auto"/>
        <w:jc w:val="both"/>
        <w:rPr>
          <w:rFonts w:ascii="Palatino Linotype" w:hAnsi="Palatino Linotype" w:cs="Arial"/>
        </w:rPr>
      </w:pPr>
      <w:r>
        <w:rPr>
          <w:rFonts w:ascii="Palatino Linotype" w:hAnsi="Palatino Linotype" w:cs="Arial"/>
          <w:b/>
        </w:rPr>
        <w:t>Segundo</w:t>
      </w:r>
      <w:r w:rsidRPr="00A22E55">
        <w:rPr>
          <w:rFonts w:ascii="Palatino Linotype" w:hAnsi="Palatino Linotype" w:cs="Arial"/>
          <w:b/>
        </w:rPr>
        <w:t>. Oportunidad y Procedibilidad de</w:t>
      </w:r>
      <w:r w:rsidR="00702929">
        <w:rPr>
          <w:rFonts w:ascii="Palatino Linotype" w:hAnsi="Palatino Linotype" w:cs="Arial"/>
          <w:b/>
        </w:rPr>
        <w:t xml:space="preserve"> </w:t>
      </w:r>
      <w:r w:rsidRPr="00A22E55">
        <w:rPr>
          <w:rFonts w:ascii="Palatino Linotype" w:hAnsi="Palatino Linotype" w:cs="Arial"/>
          <w:b/>
        </w:rPr>
        <w:t>l</w:t>
      </w:r>
      <w:r w:rsidR="00702929">
        <w:rPr>
          <w:rFonts w:ascii="Palatino Linotype" w:hAnsi="Palatino Linotype" w:cs="Arial"/>
          <w:b/>
        </w:rPr>
        <w:t>os</w:t>
      </w:r>
      <w:r w:rsidRPr="00A22E55">
        <w:rPr>
          <w:rFonts w:ascii="Palatino Linotype" w:hAnsi="Palatino Linotype" w:cs="Arial"/>
          <w:b/>
        </w:rPr>
        <w:t xml:space="preserve"> Recurso</w:t>
      </w:r>
      <w:r w:rsidR="00702929">
        <w:rPr>
          <w:rFonts w:ascii="Palatino Linotype" w:hAnsi="Palatino Linotype" w:cs="Arial"/>
          <w:b/>
        </w:rPr>
        <w:t>s</w:t>
      </w:r>
      <w:r w:rsidRPr="00A22E55">
        <w:rPr>
          <w:rFonts w:ascii="Palatino Linotype" w:hAnsi="Palatino Linotype" w:cs="Arial"/>
          <w:b/>
        </w:rPr>
        <w:t xml:space="preserve"> de Revisión. </w:t>
      </w:r>
      <w:r>
        <w:rPr>
          <w:rFonts w:ascii="Palatino Linotype" w:hAnsi="Palatino Linotype" w:cs="Arial"/>
        </w:rPr>
        <w:t>De conformidad con</w:t>
      </w:r>
      <w:r w:rsidRPr="00A22E55">
        <w:rPr>
          <w:rFonts w:ascii="Palatino Linotype" w:hAnsi="Palatino Linotype" w:cs="Arial"/>
        </w:rPr>
        <w:t xml:space="preserve"> los requisitos de oportunidad y procedibilidad que deben reunir los recursos de revisión interpuestos, previstos e</w:t>
      </w:r>
      <w:r>
        <w:rPr>
          <w:rFonts w:ascii="Palatino Linotype" w:hAnsi="Palatino Linotype" w:cs="Arial"/>
        </w:rPr>
        <w:t>n los artículos 178 y 180</w:t>
      </w:r>
      <w:r w:rsidRPr="00A22E55">
        <w:rPr>
          <w:rFonts w:ascii="Palatino Linotype" w:hAnsi="Palatino Linotype" w:cs="Arial"/>
        </w:rPr>
        <w:t xml:space="preserve"> de la </w:t>
      </w:r>
      <w:r w:rsidRPr="00A22E55">
        <w:rPr>
          <w:rFonts w:ascii="Palatino Linotype" w:hAnsi="Palatino Linotype" w:cs="Arial"/>
          <w:lang w:eastAsia="es-MX"/>
        </w:rPr>
        <w:t>Ley de Transparencia y Acceso a la Información Pública del Estado de México y Municipios</w:t>
      </w:r>
      <w:r>
        <w:rPr>
          <w:rFonts w:ascii="Palatino Linotype" w:hAnsi="Palatino Linotype" w:cs="Arial"/>
          <w:lang w:eastAsia="es-MX"/>
        </w:rPr>
        <w:t>;</w:t>
      </w:r>
      <w:r w:rsidRPr="00A22E55">
        <w:rPr>
          <w:rFonts w:ascii="Palatino Linotype" w:hAnsi="Palatino Linotype" w:cs="Arial"/>
          <w:lang w:eastAsia="es-MX"/>
        </w:rPr>
        <w:t xml:space="preserve"> en la especie </w:t>
      </w:r>
      <w:r w:rsidR="00996454">
        <w:rPr>
          <w:rFonts w:ascii="Palatino Linotype" w:hAnsi="Palatino Linotype" w:cs="Arial"/>
          <w:lang w:eastAsia="es-MX"/>
        </w:rPr>
        <w:t>se advierte que el</w:t>
      </w:r>
      <w:r>
        <w:rPr>
          <w:rFonts w:ascii="Palatino Linotype" w:hAnsi="Palatino Linotype" w:cs="Arial"/>
          <w:lang w:eastAsia="es-MX"/>
        </w:rPr>
        <w:t xml:space="preserve"> presente medio de impugnación fue interpuesto dentro del plazo de quince días previsto en el primero de los dispositivos referidos, toda vez que el Sujeto Obligado emitió su respuesta</w:t>
      </w:r>
      <w:r w:rsidR="00381102">
        <w:rPr>
          <w:rFonts w:ascii="Palatino Linotype" w:hAnsi="Palatino Linotype" w:cs="Arial"/>
          <w:lang w:eastAsia="es-MX"/>
        </w:rPr>
        <w:t xml:space="preserve"> a la solicitud planteada por el</w:t>
      </w:r>
      <w:r w:rsidR="005139B0">
        <w:rPr>
          <w:rFonts w:ascii="Palatino Linotype" w:hAnsi="Palatino Linotype" w:cs="Arial"/>
          <w:lang w:eastAsia="es-MX"/>
        </w:rPr>
        <w:t xml:space="preserve"> </w:t>
      </w:r>
      <w:r w:rsidR="00582AA6">
        <w:rPr>
          <w:rFonts w:ascii="Palatino Linotype" w:hAnsi="Palatino Linotype" w:cs="Arial"/>
          <w:lang w:eastAsia="es-MX"/>
        </w:rPr>
        <w:t>solicitante</w:t>
      </w:r>
      <w:r>
        <w:rPr>
          <w:rFonts w:ascii="Palatino Linotype" w:hAnsi="Palatino Linotype" w:cs="Arial"/>
          <w:lang w:eastAsia="es-MX"/>
        </w:rPr>
        <w:t xml:space="preserve"> en fecha </w:t>
      </w:r>
      <w:r w:rsidR="003723EF">
        <w:rPr>
          <w:rFonts w:ascii="Palatino Linotype" w:hAnsi="Palatino Linotype" w:cs="Arial"/>
          <w:lang w:eastAsia="es-MX"/>
        </w:rPr>
        <w:t>seis</w:t>
      </w:r>
      <w:r w:rsidR="00363F80">
        <w:rPr>
          <w:rFonts w:ascii="Palatino Linotype" w:hAnsi="Palatino Linotype" w:cs="Arial"/>
          <w:lang w:eastAsia="es-MX"/>
        </w:rPr>
        <w:t xml:space="preserve"> </w:t>
      </w:r>
      <w:r>
        <w:rPr>
          <w:rFonts w:ascii="Palatino Linotype" w:hAnsi="Palatino Linotype" w:cs="Arial"/>
          <w:lang w:eastAsia="es-MX"/>
        </w:rPr>
        <w:t xml:space="preserve">de </w:t>
      </w:r>
      <w:r w:rsidR="003723EF">
        <w:rPr>
          <w:rFonts w:ascii="Palatino Linotype" w:hAnsi="Palatino Linotype" w:cs="Arial"/>
          <w:lang w:eastAsia="es-MX"/>
        </w:rPr>
        <w:t>jul</w:t>
      </w:r>
      <w:r w:rsidR="00381102">
        <w:rPr>
          <w:rFonts w:ascii="Palatino Linotype" w:hAnsi="Palatino Linotype" w:cs="Arial"/>
          <w:lang w:eastAsia="es-MX"/>
        </w:rPr>
        <w:t>io</w:t>
      </w:r>
      <w:r w:rsidR="00363F80">
        <w:rPr>
          <w:rFonts w:ascii="Palatino Linotype" w:hAnsi="Palatino Linotype" w:cs="Arial"/>
          <w:lang w:eastAsia="es-MX"/>
        </w:rPr>
        <w:t xml:space="preserve"> </w:t>
      </w:r>
      <w:r w:rsidR="00981FE6">
        <w:rPr>
          <w:rFonts w:ascii="Palatino Linotype" w:hAnsi="Palatino Linotype" w:cs="Arial"/>
          <w:lang w:eastAsia="es-MX"/>
        </w:rPr>
        <w:t>de año dos mil dieciocho</w:t>
      </w:r>
      <w:r w:rsidR="00363F80">
        <w:rPr>
          <w:rFonts w:ascii="Palatino Linotype" w:hAnsi="Palatino Linotype" w:cs="Arial"/>
          <w:lang w:eastAsia="es-MX"/>
        </w:rPr>
        <w:t xml:space="preserve"> y la</w:t>
      </w:r>
      <w:r>
        <w:rPr>
          <w:rFonts w:ascii="Palatino Linotype" w:hAnsi="Palatino Linotype" w:cs="Arial"/>
          <w:lang w:eastAsia="es-MX"/>
        </w:rPr>
        <w:t xml:space="preserve"> </w:t>
      </w:r>
      <w:r w:rsidR="00582AA6">
        <w:rPr>
          <w:rFonts w:ascii="Palatino Linotype" w:hAnsi="Palatino Linotype" w:cs="Arial"/>
          <w:lang w:eastAsia="es-MX"/>
        </w:rPr>
        <w:t>recurrente</w:t>
      </w:r>
      <w:r>
        <w:rPr>
          <w:rFonts w:ascii="Palatino Linotype" w:hAnsi="Palatino Linotype" w:cs="Arial"/>
          <w:lang w:eastAsia="es-MX"/>
        </w:rPr>
        <w:t xml:space="preserve"> presentó recurso de revisión el </w:t>
      </w:r>
      <w:r w:rsidR="00D70F8F">
        <w:rPr>
          <w:rFonts w:ascii="Palatino Linotype" w:hAnsi="Palatino Linotype" w:cs="Arial"/>
          <w:lang w:eastAsia="es-MX"/>
        </w:rPr>
        <w:t>nueve</w:t>
      </w:r>
      <w:r w:rsidR="003723EF">
        <w:rPr>
          <w:rFonts w:ascii="Palatino Linotype" w:hAnsi="Palatino Linotype" w:cs="Arial"/>
          <w:lang w:eastAsia="es-MX"/>
        </w:rPr>
        <w:t xml:space="preserve"> del mismo mes y año</w:t>
      </w:r>
      <w:r>
        <w:rPr>
          <w:rFonts w:ascii="Palatino Linotype" w:hAnsi="Palatino Linotype" w:cs="Arial"/>
          <w:shd w:val="clear" w:color="auto" w:fill="FFFFFF"/>
        </w:rPr>
        <w:t>;</w:t>
      </w:r>
      <w:r>
        <w:rPr>
          <w:rFonts w:ascii="Palatino Linotype" w:hAnsi="Palatino Linotype" w:cs="Arial"/>
          <w:lang w:eastAsia="es-MX"/>
        </w:rPr>
        <w:t xml:space="preserve"> evidenciándose que la interposición de</w:t>
      </w:r>
      <w:r w:rsidR="00996454">
        <w:rPr>
          <w:rFonts w:ascii="Palatino Linotype" w:hAnsi="Palatino Linotype" w:cs="Arial"/>
          <w:lang w:eastAsia="es-MX"/>
        </w:rPr>
        <w:t>l</w:t>
      </w:r>
      <w:r>
        <w:rPr>
          <w:rFonts w:ascii="Palatino Linotype" w:hAnsi="Palatino Linotype" w:cs="Arial"/>
          <w:lang w:eastAsia="es-MX"/>
        </w:rPr>
        <w:t xml:space="preserve"> recurso se</w:t>
      </w:r>
      <w:r>
        <w:rPr>
          <w:rFonts w:ascii="Palatino Linotype" w:hAnsi="Palatino Linotype" w:cs="Arial"/>
        </w:rPr>
        <w:t xml:space="preserve"> encuentra dentro de los márgenes temporales previstos en el citado precepto legal.</w:t>
      </w:r>
    </w:p>
    <w:p w14:paraId="4C2EB2B1" w14:textId="368A142E" w:rsidR="003723EF" w:rsidRDefault="00BA2369" w:rsidP="00BA2369">
      <w:pPr>
        <w:pStyle w:val="paragraph"/>
        <w:spacing w:before="0" w:beforeAutospacing="0" w:after="240" w:afterAutospacing="0" w:line="360" w:lineRule="auto"/>
        <w:ind w:right="-150"/>
        <w:jc w:val="both"/>
        <w:textAlignment w:val="baseline"/>
        <w:rPr>
          <w:rStyle w:val="normaltextrun"/>
          <w:rFonts w:ascii="Palatino Linotype" w:hAnsi="Palatino Linotype" w:cs="Segoe UI"/>
        </w:rPr>
      </w:pPr>
      <w:r w:rsidRPr="00CE38B5">
        <w:rPr>
          <w:rFonts w:ascii="Palatino Linotype" w:hAnsi="Palatino Linotype" w:cs="Arial"/>
        </w:rPr>
        <w:t>Así también por cuanto hace a la procedibilidad de</w:t>
      </w:r>
      <w:r w:rsidR="003D0DD8">
        <w:rPr>
          <w:rFonts w:ascii="Palatino Linotype" w:hAnsi="Palatino Linotype" w:cs="Arial"/>
        </w:rPr>
        <w:t xml:space="preserve"> </w:t>
      </w:r>
      <w:r w:rsidRPr="00CE38B5">
        <w:rPr>
          <w:rFonts w:ascii="Palatino Linotype" w:hAnsi="Palatino Linotype" w:cs="Arial"/>
        </w:rPr>
        <w:t>l</w:t>
      </w:r>
      <w:r w:rsidR="003D0DD8">
        <w:rPr>
          <w:rFonts w:ascii="Palatino Linotype" w:hAnsi="Palatino Linotype" w:cs="Arial"/>
        </w:rPr>
        <w:t>os</w:t>
      </w:r>
      <w:r w:rsidRPr="00CE38B5">
        <w:rPr>
          <w:rFonts w:ascii="Palatino Linotype" w:hAnsi="Palatino Linotype" w:cs="Arial"/>
        </w:rPr>
        <w:t xml:space="preserve"> recurso</w:t>
      </w:r>
      <w:r w:rsidR="003D0DD8">
        <w:rPr>
          <w:rFonts w:ascii="Palatino Linotype" w:hAnsi="Palatino Linotype" w:cs="Arial"/>
        </w:rPr>
        <w:t>s</w:t>
      </w:r>
      <w:r w:rsidRPr="00CE38B5">
        <w:rPr>
          <w:rFonts w:ascii="Palatino Linotype" w:hAnsi="Palatino Linotype" w:cs="Arial"/>
        </w:rPr>
        <w:t xml:space="preserve"> de revisión </w:t>
      </w:r>
      <w:r w:rsidR="00996454">
        <w:rPr>
          <w:rFonts w:ascii="Palatino Linotype" w:hAnsi="Palatino Linotype" w:cs="Arial"/>
        </w:rPr>
        <w:t>una vez realizado el análisis</w:t>
      </w:r>
      <w:r>
        <w:rPr>
          <w:rFonts w:ascii="Palatino Linotype" w:hAnsi="Palatino Linotype" w:cs="Arial"/>
        </w:rPr>
        <w:t xml:space="preserve"> de</w:t>
      </w:r>
      <w:r w:rsidR="00024F45">
        <w:rPr>
          <w:rFonts w:ascii="Palatino Linotype" w:hAnsi="Palatino Linotype" w:cs="Arial"/>
        </w:rPr>
        <w:t>l</w:t>
      </w:r>
      <w:r>
        <w:rPr>
          <w:rFonts w:ascii="Palatino Linotype" w:hAnsi="Palatino Linotype" w:cs="Arial"/>
        </w:rPr>
        <w:t xml:space="preserve"> formato de interposición</w:t>
      </w:r>
      <w:r w:rsidRPr="00CE38B5">
        <w:rPr>
          <w:rStyle w:val="normaltextrun"/>
          <w:rFonts w:ascii="Palatino Linotype" w:hAnsi="Palatino Linotype" w:cs="Segoe UI"/>
        </w:rPr>
        <w:t xml:space="preserve"> de</w:t>
      </w:r>
      <w:r w:rsidR="00024F45">
        <w:rPr>
          <w:rStyle w:val="normaltextrun"/>
          <w:rFonts w:ascii="Palatino Linotype" w:hAnsi="Palatino Linotype" w:cs="Segoe UI"/>
        </w:rPr>
        <w:t>l</w:t>
      </w:r>
      <w:r w:rsidRPr="00CE38B5">
        <w:rPr>
          <w:rStyle w:val="normaltextrun"/>
          <w:rFonts w:ascii="Palatino Linotype" w:hAnsi="Palatino Linotype" w:cs="Segoe UI"/>
        </w:rPr>
        <w:t xml:space="preserve"> recurso, se </w:t>
      </w:r>
      <w:r>
        <w:rPr>
          <w:rStyle w:val="normaltextrun"/>
          <w:rFonts w:ascii="Palatino Linotype" w:hAnsi="Palatino Linotype" w:cs="Segoe UI"/>
        </w:rPr>
        <w:t>colige</w:t>
      </w:r>
      <w:r w:rsidRPr="00CE38B5">
        <w:rPr>
          <w:rStyle w:val="normaltextrun"/>
          <w:rFonts w:ascii="Palatino Linotype" w:hAnsi="Palatino Linotype" w:cs="Segoe UI"/>
        </w:rPr>
        <w:t xml:space="preserve"> la acreditación plena de todos y cada uno de los elementos form</w:t>
      </w:r>
      <w:r>
        <w:rPr>
          <w:rStyle w:val="normaltextrun"/>
          <w:rFonts w:ascii="Palatino Linotype" w:hAnsi="Palatino Linotype" w:cs="Segoe UI"/>
        </w:rPr>
        <w:t>ales exigidos por el artículo 180</w:t>
      </w:r>
      <w:r w:rsidRPr="00CE38B5">
        <w:rPr>
          <w:rStyle w:val="normaltextrun"/>
          <w:rFonts w:ascii="Palatino Linotype" w:hAnsi="Palatino Linotype" w:cs="Segoe UI"/>
        </w:rPr>
        <w:t xml:space="preserve"> de </w:t>
      </w:r>
      <w:r w:rsidRPr="00CE38B5">
        <w:rPr>
          <w:rStyle w:val="normaltextrun"/>
          <w:rFonts w:ascii="Palatino Linotype" w:hAnsi="Palatino Linotype" w:cs="Segoe UI"/>
        </w:rPr>
        <w:lastRenderedPageBreak/>
        <w:t>la</w:t>
      </w:r>
      <w:r w:rsidRPr="00CE38B5">
        <w:rPr>
          <w:rStyle w:val="apple-converted-space"/>
          <w:rFonts w:ascii="Palatino Linotype" w:hAnsi="Palatino Linotype" w:cs="Segoe UI"/>
        </w:rPr>
        <w:t> </w:t>
      </w:r>
      <w:r w:rsidRPr="00CE38B5">
        <w:rPr>
          <w:rStyle w:val="normaltextrun"/>
          <w:rFonts w:ascii="Palatino Linotype" w:hAnsi="Palatino Linotype" w:cs="Segoe UI"/>
        </w:rPr>
        <w:t>Ley de Transparencia y Acceso a la Información Pública del Estado de México y Municipios</w:t>
      </w:r>
      <w:r>
        <w:rPr>
          <w:rStyle w:val="normaltextrun"/>
          <w:rFonts w:ascii="Palatino Linotype" w:hAnsi="Palatino Linotype" w:cs="Segoe UI"/>
        </w:rPr>
        <w:t xml:space="preserve">, </w:t>
      </w:r>
      <w:r w:rsidRPr="00CE38B5">
        <w:rPr>
          <w:rStyle w:val="normaltextrun"/>
          <w:rFonts w:ascii="Palatino Linotype" w:hAnsi="Palatino Linotype" w:cs="Segoe UI"/>
        </w:rPr>
        <w:t>en atención a que fue presentado mediante el formato visible en</w:t>
      </w:r>
      <w:r w:rsidRPr="00CE38B5">
        <w:rPr>
          <w:rStyle w:val="apple-converted-space"/>
          <w:rFonts w:ascii="Palatino Linotype" w:hAnsi="Palatino Linotype" w:cs="Segoe UI"/>
        </w:rPr>
        <w:t> </w:t>
      </w:r>
      <w:r w:rsidRPr="00CE38B5">
        <w:rPr>
          <w:rStyle w:val="normaltextrun"/>
          <w:rFonts w:ascii="Palatino Linotype" w:hAnsi="Palatino Linotype" w:cs="Segoe UI"/>
          <w:b/>
          <w:bCs/>
        </w:rPr>
        <w:t>EL</w:t>
      </w:r>
      <w:r w:rsidRPr="00CE38B5">
        <w:rPr>
          <w:rStyle w:val="apple-converted-space"/>
          <w:rFonts w:ascii="Palatino Linotype" w:hAnsi="Palatino Linotype" w:cs="Segoe UI"/>
        </w:rPr>
        <w:t> </w:t>
      </w:r>
      <w:r w:rsidRPr="00CE38B5">
        <w:rPr>
          <w:rStyle w:val="normaltextrun"/>
          <w:rFonts w:ascii="Palatino Linotype" w:hAnsi="Palatino Linotype" w:cs="Segoe UI"/>
          <w:b/>
          <w:bCs/>
        </w:rPr>
        <w:t>SAIMEX</w:t>
      </w:r>
      <w:r>
        <w:rPr>
          <w:rStyle w:val="normaltextrun"/>
          <w:rFonts w:ascii="Palatino Linotype" w:hAnsi="Palatino Linotype" w:cs="Segoe UI"/>
        </w:rPr>
        <w:t>.</w:t>
      </w:r>
    </w:p>
    <w:p w14:paraId="0F6A847E" w14:textId="77777777" w:rsidR="003723EF" w:rsidRPr="004348CE" w:rsidRDefault="003723EF" w:rsidP="003723EF">
      <w:pPr>
        <w:pStyle w:val="paragraph"/>
        <w:spacing w:before="0" w:beforeAutospacing="0" w:after="240" w:afterAutospacing="0" w:line="360" w:lineRule="auto"/>
        <w:ind w:right="-150"/>
        <w:jc w:val="both"/>
        <w:textAlignment w:val="baseline"/>
        <w:rPr>
          <w:rFonts w:ascii="Palatino Linotype" w:hAnsi="Palatino Linotype" w:cs="Segoe UI"/>
        </w:rPr>
      </w:pPr>
      <w:r>
        <w:rPr>
          <w:rStyle w:val="normaltextrun"/>
          <w:rFonts w:ascii="Palatino Linotype" w:hAnsi="Palatino Linotype" w:cs="Segoe UI"/>
        </w:rPr>
        <w:t xml:space="preserve">Al respecto conviene resaltar que si bien el recurrente en el asunto que nos ocupa no señaló un nombre completo o cierto que nos permita asegurar su identidad, la realidad es que ello no genera la improcedibilidad de los recursos de revisión pues el artículo </w:t>
      </w:r>
      <w:r w:rsidRPr="00C774F6">
        <w:rPr>
          <w:rFonts w:ascii="Palatino Linotype" w:hAnsi="Palatino Linotype" w:cs="Arial"/>
        </w:rPr>
        <w:t xml:space="preserve">15 de Ley de Transparencia y Acceso a la Información Pública del Estado de México y Municipios </w:t>
      </w:r>
      <w:r w:rsidRPr="00C774F6">
        <w:rPr>
          <w:rFonts w:ascii="Palatino Linotype" w:hAnsi="Palatino Linotype" w:cs="Arial"/>
          <w:iCs/>
        </w:rPr>
        <w:t xml:space="preserve">prevé que </w:t>
      </w:r>
      <w:r w:rsidRPr="00C774F6">
        <w:rPr>
          <w:rFonts w:ascii="Palatino Linotype" w:hAnsi="Palatino Linotype" w:cs="Arial"/>
        </w:rPr>
        <w:t>toda persona tendrá acceso a la información sin</w:t>
      </w:r>
      <w:r>
        <w:rPr>
          <w:rFonts w:ascii="Palatino Linotype" w:hAnsi="Palatino Linotype" w:cs="Arial"/>
        </w:rPr>
        <w:t xml:space="preserve"> discriminación por motivo alguno, ello aunado a que el artículo 155 que lista los requisitos que deben contener las solicitudes de acceso a la información, refiere en su penúltimo párrafo la posibilidad de que aquellas puedan ser anónimas, con nombre incompleto o seudónimo, sin que el Sujeto Obligado requiera información adicional con relación al nombre proporcionado por el solicitante.</w:t>
      </w:r>
    </w:p>
    <w:p w14:paraId="0469897A" w14:textId="77777777" w:rsidR="003723EF" w:rsidRDefault="003723EF" w:rsidP="003723EF">
      <w:pPr>
        <w:pStyle w:val="paragraph"/>
        <w:spacing w:before="0" w:beforeAutospacing="0" w:after="240" w:afterAutospacing="0" w:line="360" w:lineRule="auto"/>
        <w:ind w:right="-150"/>
        <w:jc w:val="both"/>
        <w:textAlignment w:val="baseline"/>
        <w:rPr>
          <w:rFonts w:ascii="Palatino Linotype" w:hAnsi="Palatino Linotype" w:cs="Arial"/>
        </w:rPr>
      </w:pPr>
      <w:r>
        <w:rPr>
          <w:rFonts w:ascii="Palatino Linotype" w:hAnsi="Palatino Linotype" w:cs="Arial"/>
        </w:rPr>
        <w:t>Lo  mismo ocurre para el formato electrónico por el cual se interponga el recurso de revisión, pues si bien el artículo 180 de la Ley de la materia prevé en su fracción II que el recurso contendrá el nombre del solicitante que recurre, lo cierto es que en su último párrafo dice que cuando el recurso se interponga de manera electrónica como acontece en la especie no resulta necesario que se cumpla con dicho requisito.</w:t>
      </w:r>
    </w:p>
    <w:p w14:paraId="5FCBCD88" w14:textId="77777777" w:rsidR="003723EF" w:rsidRPr="003F4843" w:rsidRDefault="003723EF" w:rsidP="003723EF">
      <w:pPr>
        <w:pStyle w:val="paragraph"/>
        <w:spacing w:before="0" w:beforeAutospacing="0" w:after="240" w:afterAutospacing="0" w:line="360" w:lineRule="auto"/>
        <w:ind w:right="-150"/>
        <w:jc w:val="both"/>
        <w:textAlignment w:val="baseline"/>
        <w:rPr>
          <w:rFonts w:ascii="Palatino Linotype" w:hAnsi="Palatino Linotype" w:cs="Arial"/>
        </w:rPr>
      </w:pPr>
      <w:r>
        <w:rPr>
          <w:rFonts w:ascii="Palatino Linotype" w:hAnsi="Palatino Linotype" w:cs="Arial"/>
        </w:rPr>
        <w:t xml:space="preserve">Lo anterior en estricta congruencia con lo determinado en los </w:t>
      </w:r>
      <w:r w:rsidRPr="00E90AEC">
        <w:rPr>
          <w:rFonts w:ascii="Palatino Linotype" w:hAnsi="Palatino Linotype"/>
        </w:rPr>
        <w:t>art</w:t>
      </w:r>
      <w:r>
        <w:rPr>
          <w:rFonts w:ascii="Palatino Linotype" w:hAnsi="Palatino Linotype"/>
        </w:rPr>
        <w:t>ículos 6, Apartado A, fracción</w:t>
      </w:r>
      <w:r w:rsidRPr="00E90AEC">
        <w:rPr>
          <w:rFonts w:ascii="Palatino Linotype" w:hAnsi="Palatino Linotype"/>
        </w:rPr>
        <w:t xml:space="preserve"> III de la Constitución Política de los Estados Unidos Mexicanos y 5 párrafos </w:t>
      </w:r>
      <w:r>
        <w:rPr>
          <w:rFonts w:ascii="Palatino Linotype" w:hAnsi="Palatino Linotype"/>
        </w:rPr>
        <w:t>vigésimo, vigésimo primero y vigésimo segundo, fracción</w:t>
      </w:r>
      <w:r w:rsidRPr="00E90AEC">
        <w:rPr>
          <w:rFonts w:ascii="Palatino Linotype" w:hAnsi="Palatino Linotype"/>
        </w:rPr>
        <w:t xml:space="preserve"> III, de la Constitución Política del Estado Libre y Soberano de México, </w:t>
      </w:r>
      <w:r>
        <w:rPr>
          <w:rFonts w:ascii="Palatino Linotype" w:hAnsi="Palatino Linotype"/>
        </w:rPr>
        <w:t>que a la letra señalan</w:t>
      </w:r>
      <w:r w:rsidRPr="00E90AEC">
        <w:rPr>
          <w:rFonts w:ascii="Palatino Linotype" w:hAnsi="Palatino Linotype"/>
        </w:rPr>
        <w:t>:</w:t>
      </w:r>
    </w:p>
    <w:p w14:paraId="2898CDCC" w14:textId="77777777" w:rsidR="003723EF" w:rsidRPr="00E90AEC" w:rsidRDefault="003723EF" w:rsidP="003723EF">
      <w:pPr>
        <w:spacing w:before="240" w:after="240"/>
        <w:ind w:left="851" w:right="900"/>
        <w:jc w:val="both"/>
        <w:rPr>
          <w:rFonts w:ascii="Palatino Linotype" w:hAnsi="Palatino Linotype"/>
          <w:b/>
          <w:i/>
          <w:sz w:val="22"/>
          <w:szCs w:val="20"/>
        </w:rPr>
      </w:pPr>
      <w:r w:rsidRPr="00E90AEC">
        <w:rPr>
          <w:rFonts w:ascii="Palatino Linotype" w:hAnsi="Palatino Linotype"/>
          <w:b/>
          <w:i/>
          <w:sz w:val="22"/>
          <w:szCs w:val="20"/>
        </w:rPr>
        <w:t>Constitución Política de los Estados Unidos Mexicanos</w:t>
      </w:r>
    </w:p>
    <w:p w14:paraId="091BDA76" w14:textId="77777777" w:rsidR="003723EF" w:rsidRPr="00E90AEC" w:rsidRDefault="003723EF" w:rsidP="003723EF">
      <w:pPr>
        <w:spacing w:before="240" w:after="240"/>
        <w:ind w:left="851" w:right="900"/>
        <w:jc w:val="both"/>
        <w:rPr>
          <w:rFonts w:ascii="Palatino Linotype" w:hAnsi="Palatino Linotype"/>
          <w:i/>
          <w:sz w:val="22"/>
          <w:szCs w:val="20"/>
        </w:rPr>
      </w:pPr>
      <w:r w:rsidRPr="00E90AEC">
        <w:rPr>
          <w:rFonts w:ascii="Palatino Linotype" w:hAnsi="Palatino Linotype"/>
          <w:i/>
          <w:sz w:val="22"/>
          <w:szCs w:val="20"/>
        </w:rPr>
        <w:lastRenderedPageBreak/>
        <w:t xml:space="preserve">“Artículo 6°.-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E90AEC">
        <w:rPr>
          <w:rFonts w:ascii="Palatino Linotype" w:hAnsi="Palatino Linotype"/>
          <w:b/>
          <w:i/>
          <w:sz w:val="22"/>
          <w:szCs w:val="20"/>
          <w:u w:val="single"/>
        </w:rPr>
        <w:t>El derecho a la información será garantizado por el Estado.</w:t>
      </w:r>
    </w:p>
    <w:p w14:paraId="0C98A20F" w14:textId="77777777" w:rsidR="003723EF" w:rsidRPr="00E90AEC" w:rsidRDefault="003723EF" w:rsidP="003723EF">
      <w:pPr>
        <w:spacing w:before="240" w:after="240"/>
        <w:ind w:left="851" w:right="900"/>
        <w:jc w:val="both"/>
        <w:rPr>
          <w:rFonts w:ascii="Palatino Linotype" w:hAnsi="Palatino Linotype"/>
          <w:i/>
          <w:sz w:val="22"/>
          <w:szCs w:val="20"/>
        </w:rPr>
      </w:pPr>
      <w:r w:rsidRPr="00E90AEC">
        <w:rPr>
          <w:rFonts w:ascii="Palatino Linotype" w:hAnsi="Palatino Linotype"/>
          <w:i/>
          <w:sz w:val="22"/>
          <w:szCs w:val="20"/>
        </w:rPr>
        <w:t>[…]</w:t>
      </w:r>
    </w:p>
    <w:p w14:paraId="568DCDF9" w14:textId="77777777" w:rsidR="003723EF" w:rsidRPr="00E90AEC" w:rsidRDefault="003723EF" w:rsidP="003723EF">
      <w:pPr>
        <w:spacing w:before="240" w:after="240"/>
        <w:ind w:left="851" w:right="900"/>
        <w:jc w:val="both"/>
        <w:rPr>
          <w:rFonts w:ascii="Palatino Linotype" w:hAnsi="Palatino Linotype"/>
          <w:i/>
          <w:sz w:val="22"/>
          <w:szCs w:val="20"/>
        </w:rPr>
      </w:pPr>
      <w:r w:rsidRPr="00E90AEC">
        <w:rPr>
          <w:rFonts w:ascii="Palatino Linotype" w:hAnsi="Palatino Linotype"/>
          <w:i/>
          <w:sz w:val="22"/>
          <w:szCs w:val="20"/>
        </w:rPr>
        <w:t xml:space="preserve">Para efectos de lo dispuesto en el presente artículo se observará lo siguiente: </w:t>
      </w:r>
    </w:p>
    <w:p w14:paraId="1923AFF6" w14:textId="77777777" w:rsidR="003723EF" w:rsidRPr="00E90AEC" w:rsidRDefault="003723EF" w:rsidP="003723EF">
      <w:pPr>
        <w:spacing w:before="240" w:after="240"/>
        <w:ind w:left="851" w:right="900"/>
        <w:jc w:val="both"/>
        <w:rPr>
          <w:rFonts w:ascii="Palatino Linotype" w:hAnsi="Palatino Linotype"/>
          <w:i/>
          <w:sz w:val="22"/>
          <w:szCs w:val="20"/>
        </w:rPr>
      </w:pPr>
      <w:r w:rsidRPr="00E90AEC">
        <w:rPr>
          <w:rFonts w:ascii="Palatino Linotype" w:hAnsi="Palatino Linotype"/>
          <w:i/>
          <w:sz w:val="22"/>
          <w:szCs w:val="20"/>
        </w:rPr>
        <w:t xml:space="preserve">A. </w:t>
      </w:r>
      <w:r w:rsidRPr="00E90AEC">
        <w:rPr>
          <w:rFonts w:ascii="Palatino Linotype" w:hAnsi="Palatino Linotype"/>
          <w:b/>
          <w:i/>
          <w:sz w:val="22"/>
          <w:szCs w:val="20"/>
          <w:u w:val="single"/>
        </w:rPr>
        <w:t>Para el ejercicio del derecho de acceso a la información</w:t>
      </w:r>
      <w:r w:rsidRPr="00E90AEC">
        <w:rPr>
          <w:rFonts w:ascii="Palatino Linotype" w:hAnsi="Palatino Linotype"/>
          <w:i/>
          <w:sz w:val="22"/>
          <w:szCs w:val="20"/>
        </w:rPr>
        <w:t xml:space="preserve">, la Federación, </w:t>
      </w:r>
      <w:r w:rsidRPr="00E90AEC">
        <w:rPr>
          <w:rFonts w:ascii="Palatino Linotype" w:hAnsi="Palatino Linotype"/>
          <w:b/>
          <w:i/>
          <w:sz w:val="22"/>
          <w:szCs w:val="20"/>
          <w:u w:val="single"/>
        </w:rPr>
        <w:t>los Estados</w:t>
      </w:r>
      <w:r w:rsidRPr="00E90AEC">
        <w:rPr>
          <w:rFonts w:ascii="Palatino Linotype" w:hAnsi="Palatino Linotype"/>
          <w:i/>
          <w:sz w:val="22"/>
          <w:szCs w:val="20"/>
        </w:rPr>
        <w:t xml:space="preserve"> y el Distrito Federal, en el ámbito de sus respectivas competencias, se regirán por los siguientes principios y bases: </w:t>
      </w:r>
    </w:p>
    <w:p w14:paraId="0922366E" w14:textId="77777777" w:rsidR="003723EF" w:rsidRPr="00E90AEC" w:rsidRDefault="003723EF" w:rsidP="003723EF">
      <w:pPr>
        <w:spacing w:before="240" w:after="240"/>
        <w:ind w:left="851" w:right="900"/>
        <w:jc w:val="both"/>
        <w:rPr>
          <w:rFonts w:ascii="Palatino Linotype" w:hAnsi="Palatino Linotype"/>
          <w:i/>
          <w:sz w:val="22"/>
          <w:szCs w:val="20"/>
        </w:rPr>
      </w:pPr>
      <w:r w:rsidRPr="00E90AEC">
        <w:rPr>
          <w:rFonts w:ascii="Palatino Linotype" w:hAnsi="Palatino Linotype"/>
          <w:i/>
          <w:sz w:val="22"/>
          <w:szCs w:val="20"/>
        </w:rPr>
        <w:t xml:space="preserve">III. </w:t>
      </w:r>
      <w:r w:rsidRPr="00E90AEC">
        <w:rPr>
          <w:rFonts w:ascii="Palatino Linotype" w:hAnsi="Palatino Linotype"/>
          <w:b/>
          <w:i/>
          <w:sz w:val="22"/>
          <w:szCs w:val="20"/>
          <w:u w:val="single"/>
        </w:rPr>
        <w:t xml:space="preserve">Toda persona, sin necesidad de acreditar interés alguno o justificar su utilización, tendrá acceso gratuito a la información pública, </w:t>
      </w:r>
      <w:r w:rsidRPr="00E90AEC">
        <w:rPr>
          <w:rFonts w:ascii="Palatino Linotype" w:hAnsi="Palatino Linotype"/>
          <w:i/>
          <w:sz w:val="22"/>
          <w:szCs w:val="20"/>
        </w:rPr>
        <w:t xml:space="preserve">a sus datos personales o a la rectificación de éstos. </w:t>
      </w:r>
    </w:p>
    <w:p w14:paraId="008EC712" w14:textId="77777777" w:rsidR="003723EF" w:rsidRPr="00E90AEC" w:rsidRDefault="003723EF" w:rsidP="003723EF">
      <w:pPr>
        <w:spacing w:before="240" w:after="240"/>
        <w:ind w:left="851" w:right="900"/>
        <w:jc w:val="both"/>
        <w:rPr>
          <w:rFonts w:ascii="Palatino Linotype" w:hAnsi="Palatino Linotype"/>
          <w:i/>
          <w:sz w:val="22"/>
          <w:szCs w:val="20"/>
        </w:rPr>
      </w:pPr>
      <w:r w:rsidRPr="00E90AEC">
        <w:rPr>
          <w:rFonts w:ascii="Palatino Linotype" w:hAnsi="Palatino Linotype"/>
          <w:i/>
          <w:sz w:val="22"/>
          <w:szCs w:val="20"/>
        </w:rPr>
        <w:t xml:space="preserve"> (Énfasis añadido).</w:t>
      </w:r>
    </w:p>
    <w:p w14:paraId="0077BE5B" w14:textId="77777777" w:rsidR="003723EF" w:rsidRPr="00E90AEC" w:rsidRDefault="003723EF" w:rsidP="003723EF">
      <w:pPr>
        <w:spacing w:before="240" w:after="240"/>
        <w:ind w:left="851" w:right="900"/>
        <w:jc w:val="both"/>
        <w:rPr>
          <w:rFonts w:ascii="Palatino Linotype" w:hAnsi="Palatino Linotype"/>
          <w:b/>
          <w:i/>
          <w:sz w:val="22"/>
          <w:szCs w:val="20"/>
        </w:rPr>
      </w:pPr>
      <w:r w:rsidRPr="00E90AEC">
        <w:rPr>
          <w:rFonts w:ascii="Palatino Linotype" w:hAnsi="Palatino Linotype"/>
          <w:b/>
          <w:i/>
          <w:sz w:val="22"/>
          <w:szCs w:val="20"/>
        </w:rPr>
        <w:t>Constitución Política del Estado Libre y Soberano de México</w:t>
      </w:r>
    </w:p>
    <w:p w14:paraId="0CCE611C" w14:textId="77777777" w:rsidR="003723EF" w:rsidRPr="00E90AEC" w:rsidRDefault="003723EF" w:rsidP="003723EF">
      <w:pPr>
        <w:spacing w:before="240" w:after="240"/>
        <w:ind w:left="851" w:right="900"/>
        <w:jc w:val="both"/>
        <w:rPr>
          <w:rFonts w:ascii="Palatino Linotype" w:hAnsi="Palatino Linotype"/>
          <w:i/>
          <w:sz w:val="22"/>
          <w:szCs w:val="22"/>
        </w:rPr>
      </w:pPr>
      <w:r w:rsidRPr="00E90AEC">
        <w:rPr>
          <w:rFonts w:ascii="Palatino Linotype" w:hAnsi="Palatino Linotype"/>
          <w:i/>
          <w:sz w:val="22"/>
          <w:szCs w:val="22"/>
        </w:rPr>
        <w:t>“Artículo 5.- En el Estado de México todos los individuos son iguales y tienen las libertades, derechos y garantías que la Constitución Federal, esta Constitución, los Tratados Internacionales en materia de derechos fundamentales de los que el Estado Mexicano sea parte y las leyes del Estado establecen.</w:t>
      </w:r>
    </w:p>
    <w:p w14:paraId="6470290D" w14:textId="77777777" w:rsidR="003723EF" w:rsidRPr="00E90AEC" w:rsidRDefault="003723EF" w:rsidP="003723EF">
      <w:pPr>
        <w:spacing w:before="240" w:after="240"/>
        <w:ind w:left="851" w:right="900"/>
        <w:jc w:val="both"/>
        <w:rPr>
          <w:rFonts w:ascii="Palatino Linotype" w:hAnsi="Palatino Linotype"/>
          <w:i/>
          <w:sz w:val="22"/>
          <w:szCs w:val="22"/>
        </w:rPr>
      </w:pPr>
      <w:r w:rsidRPr="00E90AEC">
        <w:rPr>
          <w:rFonts w:ascii="Palatino Linotype" w:hAnsi="Palatino Linotype"/>
          <w:i/>
          <w:sz w:val="22"/>
          <w:szCs w:val="22"/>
        </w:rPr>
        <w:t>[…]</w:t>
      </w:r>
    </w:p>
    <w:p w14:paraId="3DE3B9ED" w14:textId="77777777" w:rsidR="003723EF" w:rsidRPr="00E90AEC" w:rsidRDefault="003723EF" w:rsidP="003723EF">
      <w:pPr>
        <w:spacing w:before="240" w:after="240"/>
        <w:ind w:left="851" w:right="900"/>
        <w:jc w:val="both"/>
        <w:rPr>
          <w:rFonts w:ascii="Palatino Linotype" w:hAnsi="Palatino Linotype"/>
          <w:b/>
          <w:i/>
          <w:sz w:val="22"/>
          <w:szCs w:val="22"/>
          <w:u w:val="single"/>
        </w:rPr>
      </w:pPr>
      <w:r w:rsidRPr="00E90AEC">
        <w:rPr>
          <w:rFonts w:ascii="Palatino Linotype" w:hAnsi="Palatino Linotype"/>
          <w:i/>
          <w:sz w:val="22"/>
          <w:szCs w:val="22"/>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64609089" w14:textId="77777777" w:rsidR="003723EF" w:rsidRPr="00E90AEC" w:rsidRDefault="003723EF" w:rsidP="003723EF">
      <w:pPr>
        <w:spacing w:before="240" w:after="240"/>
        <w:ind w:left="851" w:right="900"/>
        <w:jc w:val="both"/>
        <w:rPr>
          <w:rFonts w:ascii="Palatino Linotype" w:hAnsi="Palatino Linotype"/>
          <w:b/>
          <w:i/>
          <w:sz w:val="22"/>
          <w:szCs w:val="22"/>
          <w:u w:val="single"/>
        </w:rPr>
      </w:pPr>
      <w:r w:rsidRPr="00E90AEC">
        <w:rPr>
          <w:rFonts w:ascii="Palatino Linotype" w:hAnsi="Palatino Linotype"/>
          <w:i/>
          <w:sz w:val="22"/>
          <w:szCs w:val="22"/>
        </w:rPr>
        <w:t>Este derecho se regirá por los principios y bases siguientes:</w:t>
      </w:r>
    </w:p>
    <w:p w14:paraId="6795D6FF" w14:textId="77777777" w:rsidR="003723EF" w:rsidRPr="00E90AEC" w:rsidRDefault="003723EF" w:rsidP="003723EF">
      <w:pPr>
        <w:spacing w:before="240" w:after="240"/>
        <w:ind w:left="851" w:right="900"/>
        <w:jc w:val="both"/>
        <w:rPr>
          <w:rFonts w:ascii="Palatino Linotype" w:hAnsi="Palatino Linotype"/>
          <w:i/>
          <w:sz w:val="22"/>
          <w:szCs w:val="22"/>
        </w:rPr>
      </w:pPr>
      <w:r w:rsidRPr="00E90AEC">
        <w:rPr>
          <w:rFonts w:ascii="Palatino Linotype" w:hAnsi="Palatino Linotype"/>
          <w:i/>
          <w:sz w:val="22"/>
          <w:szCs w:val="22"/>
        </w:rPr>
        <w:t xml:space="preserve">III. </w:t>
      </w:r>
      <w:r w:rsidRPr="00E90AEC">
        <w:rPr>
          <w:rFonts w:ascii="Palatino Linotype" w:hAnsi="Palatino Linotype"/>
          <w:b/>
          <w:i/>
          <w:sz w:val="22"/>
          <w:szCs w:val="22"/>
          <w:u w:val="single"/>
        </w:rPr>
        <w:t>Toda persona, sin necesidad de acreditar interés alguno o justificar su utilización, tendrá acceso gratuito a la información pública</w:t>
      </w:r>
      <w:r w:rsidRPr="00E90AEC">
        <w:rPr>
          <w:rFonts w:ascii="Palatino Linotype" w:hAnsi="Palatino Linotype"/>
          <w:i/>
          <w:sz w:val="22"/>
          <w:szCs w:val="22"/>
        </w:rPr>
        <w:t>, a sus datos personales o a la rectificación de éstos;</w:t>
      </w:r>
    </w:p>
    <w:p w14:paraId="7A65DECF" w14:textId="77777777" w:rsidR="003723EF" w:rsidRPr="00E90AEC" w:rsidRDefault="003723EF" w:rsidP="003723EF">
      <w:pPr>
        <w:spacing w:before="240" w:after="240"/>
        <w:ind w:left="851" w:right="900"/>
        <w:jc w:val="both"/>
        <w:rPr>
          <w:rFonts w:ascii="Palatino Linotype" w:hAnsi="Palatino Linotype"/>
          <w:i/>
          <w:sz w:val="22"/>
          <w:szCs w:val="22"/>
        </w:rPr>
      </w:pPr>
      <w:r w:rsidRPr="00E90AEC">
        <w:rPr>
          <w:rFonts w:ascii="Palatino Linotype" w:hAnsi="Palatino Linotype"/>
          <w:i/>
          <w:sz w:val="22"/>
          <w:szCs w:val="22"/>
        </w:rPr>
        <w:t xml:space="preserve"> (Énfasis añadido).</w:t>
      </w:r>
    </w:p>
    <w:p w14:paraId="312193CD" w14:textId="77777777" w:rsidR="003723EF" w:rsidRPr="00E90AEC" w:rsidRDefault="003723EF" w:rsidP="003723EF">
      <w:pPr>
        <w:spacing w:before="240" w:after="240" w:line="360" w:lineRule="auto"/>
        <w:jc w:val="both"/>
        <w:rPr>
          <w:rFonts w:ascii="Palatino Linotype" w:hAnsi="Palatino Linotype"/>
        </w:rPr>
      </w:pPr>
      <w:r>
        <w:rPr>
          <w:rFonts w:ascii="Palatino Linotype" w:hAnsi="Palatino Linotype"/>
        </w:rPr>
        <w:lastRenderedPageBreak/>
        <w:t>Robusteciendo</w:t>
      </w:r>
      <w:r w:rsidRPr="00E90AEC">
        <w:rPr>
          <w:rFonts w:ascii="Palatino Linotype" w:hAnsi="Palatino Linotype"/>
        </w:rPr>
        <w:t xml:space="preserve"> lo anterior, el Criterio 6/2014 del entonces Instituto Federal de Acceso a la Información y Protección de Datos, ahora Instituto Nacional de Transparencia Acceso a la Información y Protección de Datos Personales, el cual se reproduce para una mayor referencia:</w:t>
      </w:r>
    </w:p>
    <w:p w14:paraId="702FE8D3" w14:textId="77777777" w:rsidR="003723EF" w:rsidRPr="00E90AEC" w:rsidRDefault="003723EF" w:rsidP="003723EF">
      <w:pPr>
        <w:tabs>
          <w:tab w:val="left" w:pos="7655"/>
        </w:tabs>
        <w:spacing w:before="240" w:after="240"/>
        <w:ind w:left="993" w:right="992"/>
        <w:jc w:val="both"/>
        <w:rPr>
          <w:rFonts w:ascii="Palatino Linotype" w:hAnsi="Palatino Linotype"/>
          <w:i/>
          <w:sz w:val="22"/>
        </w:rPr>
      </w:pPr>
      <w:r w:rsidRPr="00E90AEC">
        <w:rPr>
          <w:rFonts w:ascii="Palatino Linotype" w:hAnsi="Palatino Linotype"/>
          <w:b/>
          <w:i/>
          <w:sz w:val="22"/>
        </w:rPr>
        <w:t>“Acceso a información gubernamental. No debe condicionarse a que el solicitante acredite su personalidad, demuestre interés alguno o justifique su utilización.</w:t>
      </w:r>
      <w:r w:rsidRPr="00E90AEC">
        <w:rPr>
          <w:rFonts w:ascii="Palatino Linotype" w:hAnsi="Palatino Linotype"/>
          <w:i/>
          <w:sz w:val="22"/>
        </w:rPr>
        <w:t xml:space="preserve"> 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w:t>
      </w:r>
    </w:p>
    <w:p w14:paraId="6A35076B" w14:textId="77AEB13D" w:rsidR="003723EF" w:rsidRDefault="003723EF" w:rsidP="003723EF">
      <w:pPr>
        <w:pStyle w:val="paragraph"/>
        <w:spacing w:before="0" w:beforeAutospacing="0" w:after="240" w:afterAutospacing="0" w:line="360" w:lineRule="auto"/>
        <w:ind w:right="-150"/>
        <w:jc w:val="both"/>
        <w:textAlignment w:val="baseline"/>
        <w:rPr>
          <w:rStyle w:val="normaltextrun"/>
          <w:rFonts w:ascii="Palatino Linotype" w:hAnsi="Palatino Linotype" w:cs="Segoe UI"/>
        </w:rPr>
      </w:pPr>
      <w:r w:rsidRPr="00E90AEC">
        <w:rPr>
          <w:rFonts w:ascii="Palatino Linotype" w:hAnsi="Palatino Linotype"/>
        </w:rPr>
        <w:t>En consecuencia, dado lo expuesto y fundado con anterioridad, se estima que el requisito relativo al nombre del recurrente no constituye un presupuesto indispensable de procedibilidad del Recurso de Revisión, en términos de los artículos 25 de la Convención Americana de Derechos Humanos, 1</w:t>
      </w:r>
      <w:r>
        <w:rPr>
          <w:rFonts w:ascii="Palatino Linotype" w:hAnsi="Palatino Linotype"/>
        </w:rPr>
        <w:t>,</w:t>
      </w:r>
      <w:r w:rsidRPr="00E90AEC">
        <w:rPr>
          <w:rFonts w:ascii="Palatino Linotype" w:hAnsi="Palatino Linotype"/>
        </w:rPr>
        <w:t xml:space="preserve"> párrafos segundo y </w:t>
      </w:r>
      <w:r>
        <w:rPr>
          <w:rFonts w:ascii="Palatino Linotype" w:hAnsi="Palatino Linotype"/>
        </w:rPr>
        <w:t>tercero, 6 apartado A fracción</w:t>
      </w:r>
      <w:r w:rsidRPr="00E90AEC">
        <w:rPr>
          <w:rFonts w:ascii="Palatino Linotype" w:hAnsi="Palatino Linotype"/>
        </w:rPr>
        <w:t xml:space="preserve"> III de la Constitución Política de los Estados Unidos Mexicanos y 5 párrafo </w:t>
      </w:r>
      <w:r>
        <w:rPr>
          <w:rFonts w:ascii="Palatino Linotype" w:hAnsi="Palatino Linotype"/>
        </w:rPr>
        <w:t>vigésimo segundo</w:t>
      </w:r>
      <w:r w:rsidRPr="00E90AEC">
        <w:rPr>
          <w:rFonts w:ascii="Palatino Linotype" w:hAnsi="Palatino Linotype"/>
        </w:rPr>
        <w:t xml:space="preserve"> de la Constitución Política del Estado Libre y Soberano de México, debido a que el acceso a la información pública es un derecho humano que no requiere legitimación en la causa, si no que únicamente basta con que se encuentre legitimado en el procedimiento de</w:t>
      </w:r>
      <w:r w:rsidR="00D70F8F">
        <w:rPr>
          <w:rFonts w:ascii="Palatino Linotype" w:hAnsi="Palatino Linotype"/>
        </w:rPr>
        <w:t>l</w:t>
      </w:r>
      <w:r w:rsidRPr="00E90AEC">
        <w:rPr>
          <w:rFonts w:ascii="Palatino Linotype" w:hAnsi="Palatino Linotype"/>
        </w:rPr>
        <w:t xml:space="preserve"> Recurso de Revisión, circunstancia que se acredita en las constancias electrónicas del expediente en revisión, de las que se desprende que la parte recurrente, es la misma que realizó la solicitud de acceso a la información pública que ahora se impugna.</w:t>
      </w:r>
    </w:p>
    <w:p w14:paraId="08FBF19F" w14:textId="5848668F" w:rsidR="009943CF" w:rsidRPr="0031044B" w:rsidRDefault="009943CF" w:rsidP="009943CF">
      <w:pPr>
        <w:pStyle w:val="paragraph"/>
        <w:spacing w:before="0" w:beforeAutospacing="0" w:after="0" w:afterAutospacing="0" w:line="360" w:lineRule="auto"/>
        <w:ind w:right="-150"/>
        <w:jc w:val="both"/>
        <w:textAlignment w:val="baseline"/>
        <w:rPr>
          <w:rFonts w:ascii="Palatino Linotype" w:hAnsi="Palatino Linotype" w:cs="Segoe UI"/>
        </w:rPr>
      </w:pPr>
      <w:r>
        <w:rPr>
          <w:rStyle w:val="normaltextrun"/>
          <w:rFonts w:ascii="Palatino Linotype" w:hAnsi="Palatino Linotype" w:cs="Segoe UI"/>
        </w:rPr>
        <w:lastRenderedPageBreak/>
        <w:t>Por otra parte</w:t>
      </w:r>
      <w:r w:rsidRPr="00CE38B5">
        <w:rPr>
          <w:rStyle w:val="normaltextrun"/>
          <w:rFonts w:ascii="Palatino Linotype" w:hAnsi="Palatino Linotype" w:cs="Segoe UI"/>
        </w:rPr>
        <w:t>, se advierte que resulta procedente la interposición de</w:t>
      </w:r>
      <w:r w:rsidR="00024F45">
        <w:rPr>
          <w:rStyle w:val="normaltextrun"/>
          <w:rFonts w:ascii="Palatino Linotype" w:hAnsi="Palatino Linotype" w:cs="Segoe UI"/>
        </w:rPr>
        <w:t>l</w:t>
      </w:r>
      <w:r w:rsidRPr="00CE38B5">
        <w:rPr>
          <w:rStyle w:val="normaltextrun"/>
          <w:rFonts w:ascii="Palatino Linotype" w:hAnsi="Palatino Linotype" w:cs="Segoe UI"/>
        </w:rPr>
        <w:t xml:space="preserve"> recurso</w:t>
      </w:r>
      <w:r w:rsidR="003D0DD8">
        <w:rPr>
          <w:rStyle w:val="normaltextrun"/>
          <w:rFonts w:ascii="Palatino Linotype" w:hAnsi="Palatino Linotype" w:cs="Segoe UI"/>
        </w:rPr>
        <w:t>, según lo aducido por el</w:t>
      </w:r>
      <w:r>
        <w:rPr>
          <w:rStyle w:val="normaltextrun"/>
          <w:rFonts w:ascii="Palatino Linotype" w:hAnsi="Palatino Linotype" w:cs="Segoe UI"/>
        </w:rPr>
        <w:t xml:space="preserve"> recurrente en sus motivos de inconformidad, de acuerdo al</w:t>
      </w:r>
      <w:r w:rsidRPr="00CE38B5">
        <w:rPr>
          <w:rStyle w:val="normaltextrun"/>
          <w:rFonts w:ascii="Palatino Linotype" w:hAnsi="Palatino Linotype" w:cs="Segoe UI"/>
        </w:rPr>
        <w:t xml:space="preserve"> artículo</w:t>
      </w:r>
      <w:r w:rsidRPr="00CE38B5">
        <w:rPr>
          <w:rStyle w:val="apple-converted-space"/>
          <w:rFonts w:ascii="Palatino Linotype" w:hAnsi="Palatino Linotype" w:cs="Segoe UI"/>
        </w:rPr>
        <w:t> </w:t>
      </w:r>
      <w:r w:rsidR="00381102">
        <w:rPr>
          <w:rStyle w:val="normaltextrun"/>
          <w:rFonts w:ascii="Palatino Linotype" w:hAnsi="Palatino Linotype" w:cs="Segoe UI"/>
        </w:rPr>
        <w:t>179, fracción</w:t>
      </w:r>
      <w:r w:rsidR="003D0DD8">
        <w:rPr>
          <w:rStyle w:val="normaltextrun"/>
          <w:rFonts w:ascii="Palatino Linotype" w:hAnsi="Palatino Linotype" w:cs="Segoe UI"/>
        </w:rPr>
        <w:t xml:space="preserve"> </w:t>
      </w:r>
      <w:r w:rsidR="003723EF">
        <w:rPr>
          <w:rStyle w:val="normaltextrun"/>
          <w:rFonts w:ascii="Palatino Linotype" w:hAnsi="Palatino Linotype" w:cs="Segoe UI"/>
        </w:rPr>
        <w:t>V</w:t>
      </w:r>
      <w:r w:rsidR="003D0DD8">
        <w:rPr>
          <w:rStyle w:val="normaltextrun"/>
          <w:rFonts w:ascii="Palatino Linotype" w:hAnsi="Palatino Linotype" w:cs="Segoe UI"/>
        </w:rPr>
        <w:t xml:space="preserve"> </w:t>
      </w:r>
      <w:r w:rsidRPr="00CE38B5">
        <w:rPr>
          <w:rStyle w:val="normaltextrun"/>
          <w:rFonts w:ascii="Palatino Linotype" w:hAnsi="Palatino Linotype" w:cs="Segoe UI"/>
        </w:rPr>
        <w:t>del ordenamiento legal citado, que a la letra dice:</w:t>
      </w:r>
      <w:r w:rsidRPr="00CE38B5">
        <w:rPr>
          <w:rStyle w:val="eop"/>
          <w:rFonts w:ascii="Palatino Linotype" w:hAnsi="Palatino Linotype" w:cs="Segoe UI"/>
        </w:rPr>
        <w:t> </w:t>
      </w:r>
    </w:p>
    <w:p w14:paraId="6D4B6573" w14:textId="40CF1E0C" w:rsidR="00E3365D" w:rsidRPr="00363F80" w:rsidRDefault="009943CF" w:rsidP="00363F80">
      <w:pPr>
        <w:pStyle w:val="paragraph"/>
        <w:spacing w:before="240" w:beforeAutospacing="0" w:after="240" w:afterAutospacing="0"/>
        <w:ind w:left="993" w:right="1041"/>
        <w:jc w:val="both"/>
        <w:textAlignment w:val="baseline"/>
        <w:rPr>
          <w:rStyle w:val="normaltextrun"/>
          <w:rFonts w:ascii="Palatino Linotype" w:hAnsi="Palatino Linotype"/>
          <w:i/>
          <w:sz w:val="22"/>
          <w:szCs w:val="22"/>
        </w:rPr>
      </w:pPr>
      <w:r w:rsidRPr="00604C81">
        <w:rPr>
          <w:rStyle w:val="normaltextrun"/>
          <w:rFonts w:ascii="Palatino Linotype" w:hAnsi="Palatino Linotype" w:cs="Segoe UI"/>
          <w:b/>
          <w:bCs/>
          <w:i/>
          <w:iCs/>
          <w:sz w:val="22"/>
          <w:szCs w:val="22"/>
        </w:rPr>
        <w:t>“</w:t>
      </w:r>
      <w:r w:rsidRPr="00604C81">
        <w:rPr>
          <w:rFonts w:ascii="Palatino Linotype" w:hAnsi="Palatino Linotype"/>
          <w:b/>
          <w:i/>
          <w:sz w:val="22"/>
          <w:szCs w:val="22"/>
        </w:rPr>
        <w:t>Artículo 179</w:t>
      </w:r>
      <w:r w:rsidRPr="00604C81">
        <w:rPr>
          <w:rFonts w:ascii="Palatino Linotype" w:hAnsi="Palatino Linotype"/>
          <w:i/>
          <w:sz w:val="22"/>
          <w:szCs w:val="22"/>
        </w:rPr>
        <w:t xml:space="preserve">. </w:t>
      </w:r>
      <w:r w:rsidRPr="00A7051A">
        <w:rPr>
          <w:rFonts w:ascii="Palatino Linotype" w:hAnsi="Palatino Linotype"/>
          <w:b/>
          <w:i/>
          <w:sz w:val="22"/>
          <w:szCs w:val="22"/>
        </w:rPr>
        <w:t>El recurso de revisión</w:t>
      </w:r>
      <w:r w:rsidRPr="00604C81">
        <w:rPr>
          <w:rFonts w:ascii="Palatino Linotype" w:hAnsi="Palatino Linotype"/>
          <w:i/>
          <w:sz w:val="22"/>
          <w:szCs w:val="22"/>
        </w:rPr>
        <w:t xml:space="preserve"> es un medio de protección que la Ley otorga a los particulares, para hacer valer su derecho de acceso a la información pública</w:t>
      </w:r>
      <w:r w:rsidRPr="00A7051A">
        <w:rPr>
          <w:rFonts w:ascii="Palatino Linotype" w:hAnsi="Palatino Linotype"/>
          <w:b/>
          <w:i/>
          <w:sz w:val="22"/>
          <w:szCs w:val="22"/>
        </w:rPr>
        <w:t>, y procederá en contra de las siguientes causas</w:t>
      </w:r>
      <w:r w:rsidRPr="00604C81">
        <w:rPr>
          <w:rFonts w:ascii="Palatino Linotype" w:hAnsi="Palatino Linotype"/>
          <w:i/>
          <w:sz w:val="22"/>
          <w:szCs w:val="22"/>
        </w:rPr>
        <w:t>:</w:t>
      </w:r>
    </w:p>
    <w:p w14:paraId="423ECD07" w14:textId="23A7161E" w:rsidR="009943CF" w:rsidRPr="00B212AA" w:rsidRDefault="00363F80" w:rsidP="00381102">
      <w:pPr>
        <w:pStyle w:val="paragraph"/>
        <w:spacing w:before="240" w:beforeAutospacing="0" w:after="240" w:afterAutospacing="0"/>
        <w:ind w:left="993" w:right="1041"/>
        <w:jc w:val="both"/>
        <w:textAlignment w:val="baseline"/>
        <w:rPr>
          <w:rFonts w:ascii="Palatino Linotype" w:hAnsi="Palatino Linotype"/>
          <w:i/>
          <w:sz w:val="22"/>
          <w:szCs w:val="22"/>
        </w:rPr>
      </w:pPr>
      <w:r>
        <w:rPr>
          <w:rFonts w:ascii="Palatino Linotype" w:hAnsi="Palatino Linotype"/>
          <w:b/>
          <w:i/>
          <w:sz w:val="22"/>
          <w:szCs w:val="22"/>
        </w:rPr>
        <w:t>I</w:t>
      </w:r>
      <w:r w:rsidR="00E3365D">
        <w:rPr>
          <w:rFonts w:ascii="Palatino Linotype" w:hAnsi="Palatino Linotype"/>
          <w:i/>
          <w:sz w:val="22"/>
          <w:szCs w:val="22"/>
        </w:rPr>
        <w:t xml:space="preserve">. La </w:t>
      </w:r>
      <w:r w:rsidR="003723EF">
        <w:rPr>
          <w:rFonts w:ascii="Palatino Linotype" w:hAnsi="Palatino Linotype"/>
          <w:i/>
          <w:sz w:val="22"/>
          <w:szCs w:val="22"/>
        </w:rPr>
        <w:t>entrega de información incompleta</w:t>
      </w:r>
      <w:r w:rsidR="003D0DD8">
        <w:rPr>
          <w:rFonts w:ascii="Palatino Linotype" w:hAnsi="Palatino Linotype"/>
          <w:i/>
          <w:sz w:val="22"/>
          <w:szCs w:val="22"/>
        </w:rPr>
        <w:t>;</w:t>
      </w:r>
      <w:r w:rsidR="002D283C">
        <w:rPr>
          <w:rFonts w:ascii="Palatino Linotype" w:hAnsi="Palatino Linotype"/>
          <w:i/>
          <w:sz w:val="22"/>
          <w:szCs w:val="22"/>
        </w:rPr>
        <w:t>…</w:t>
      </w:r>
      <w:r w:rsidR="009943CF" w:rsidRPr="00533B1B">
        <w:rPr>
          <w:rStyle w:val="normaltextrun"/>
          <w:rFonts w:ascii="Palatino Linotype" w:hAnsi="Palatino Linotype" w:cs="Segoe UI"/>
          <w:b/>
          <w:bCs/>
          <w:i/>
          <w:iCs/>
          <w:sz w:val="22"/>
          <w:szCs w:val="22"/>
        </w:rPr>
        <w:t>”</w:t>
      </w:r>
      <w:r w:rsidR="009943CF" w:rsidRPr="00533B1B">
        <w:rPr>
          <w:rStyle w:val="eop"/>
          <w:rFonts w:ascii="Palatino Linotype" w:hAnsi="Palatino Linotype" w:cs="Segoe UI"/>
          <w:i/>
          <w:sz w:val="22"/>
          <w:szCs w:val="22"/>
        </w:rPr>
        <w:t> </w:t>
      </w:r>
    </w:p>
    <w:p w14:paraId="1E75B6C1" w14:textId="7E1539B3" w:rsidR="009943CF" w:rsidRDefault="009943CF" w:rsidP="009943CF">
      <w:pPr>
        <w:pStyle w:val="paragraph"/>
        <w:spacing w:before="0" w:beforeAutospacing="0" w:after="240" w:afterAutospacing="0" w:line="360" w:lineRule="auto"/>
        <w:ind w:right="-150"/>
        <w:jc w:val="both"/>
        <w:textAlignment w:val="baseline"/>
        <w:rPr>
          <w:rStyle w:val="normaltextrun"/>
          <w:rFonts w:ascii="Palatino Linotype" w:hAnsi="Palatino Linotype" w:cs="Segoe UI"/>
        </w:rPr>
      </w:pPr>
      <w:r>
        <w:rPr>
          <w:rStyle w:val="normaltextrun"/>
          <w:rFonts w:ascii="Palatino Linotype" w:hAnsi="Palatino Linotype" w:cs="Segoe UI"/>
        </w:rPr>
        <w:t xml:space="preserve">Lo anterior se estima </w:t>
      </w:r>
      <w:r w:rsidR="00923F1A">
        <w:rPr>
          <w:rStyle w:val="normaltextrun"/>
          <w:rFonts w:ascii="Palatino Linotype" w:hAnsi="Palatino Linotype" w:cs="Segoe UI"/>
        </w:rPr>
        <w:t>ya que en esencia el</w:t>
      </w:r>
      <w:r w:rsidR="00363F80">
        <w:rPr>
          <w:rStyle w:val="normaltextrun"/>
          <w:rFonts w:ascii="Palatino Linotype" w:hAnsi="Palatino Linotype" w:cs="Segoe UI"/>
        </w:rPr>
        <w:t xml:space="preserve"> recurrente se </w:t>
      </w:r>
      <w:r w:rsidR="00F40644">
        <w:rPr>
          <w:rStyle w:val="normaltextrun"/>
          <w:rFonts w:ascii="Palatino Linotype" w:hAnsi="Palatino Linotype" w:cs="Segoe UI"/>
        </w:rPr>
        <w:t xml:space="preserve">duele </w:t>
      </w:r>
      <w:r w:rsidR="00923F1A">
        <w:rPr>
          <w:rStyle w:val="normaltextrun"/>
          <w:rFonts w:ascii="Palatino Linotype" w:hAnsi="Palatino Linotype" w:cs="Segoe UI"/>
        </w:rPr>
        <w:t xml:space="preserve">indicando que </w:t>
      </w:r>
      <w:r w:rsidR="003723EF">
        <w:rPr>
          <w:rStyle w:val="normaltextrun"/>
          <w:rFonts w:ascii="Palatino Linotype" w:hAnsi="Palatino Linotype" w:cs="Segoe UI"/>
        </w:rPr>
        <w:t>en la respuesta proporcionada por el Sujeto Obligado se omitió la entrega del padrón de afiliados y/o simpatizantes del Municipio de Temascalcingo</w:t>
      </w:r>
      <w:r w:rsidR="00DD35F7">
        <w:rPr>
          <w:rStyle w:val="normaltextrun"/>
          <w:rFonts w:ascii="Palatino Linotype" w:hAnsi="Palatino Linotype" w:cs="Segoe UI"/>
        </w:rPr>
        <w:t>.</w:t>
      </w:r>
    </w:p>
    <w:p w14:paraId="4B52AC94" w14:textId="2A3B5920" w:rsidR="009818FB" w:rsidRDefault="00F56BDA" w:rsidP="009818FB">
      <w:pPr>
        <w:pStyle w:val="paragraph"/>
        <w:spacing w:before="240" w:beforeAutospacing="0" w:after="0" w:afterAutospacing="0" w:line="360" w:lineRule="auto"/>
        <w:ind w:right="-150"/>
        <w:jc w:val="both"/>
        <w:textAlignment w:val="baseline"/>
        <w:rPr>
          <w:rFonts w:ascii="Palatino Linotype" w:hAnsi="Palatino Linotype" w:cs="Arial"/>
          <w:b/>
        </w:rPr>
      </w:pPr>
      <w:r w:rsidRPr="00281625">
        <w:rPr>
          <w:rFonts w:ascii="Palatino Linotype" w:hAnsi="Palatino Linotype" w:cs="Arial"/>
          <w:b/>
          <w:szCs w:val="28"/>
        </w:rPr>
        <w:t>Tercero</w:t>
      </w:r>
      <w:r>
        <w:rPr>
          <w:rFonts w:ascii="Palatino Linotype" w:hAnsi="Palatino Linotype" w:cs="Arial"/>
          <w:b/>
          <w:szCs w:val="28"/>
        </w:rPr>
        <w:t>.</w:t>
      </w:r>
      <w:r w:rsidRPr="00281625">
        <w:rPr>
          <w:rFonts w:ascii="Palatino Linotype" w:hAnsi="Palatino Linotype" w:cs="Arial"/>
          <w:b/>
          <w:szCs w:val="28"/>
        </w:rPr>
        <w:t xml:space="preserve"> </w:t>
      </w:r>
      <w:r w:rsidR="009818FB" w:rsidRPr="00A22E55">
        <w:rPr>
          <w:rFonts w:ascii="Palatino Linotype" w:hAnsi="Palatino Linotype" w:cs="Arial"/>
          <w:b/>
        </w:rPr>
        <w:t xml:space="preserve">Materia de la revisión. </w:t>
      </w:r>
      <w:r w:rsidR="009818FB" w:rsidRPr="00A22E55">
        <w:rPr>
          <w:rFonts w:ascii="Palatino Linotype" w:hAnsi="Palatino Linotype" w:cs="Arial"/>
        </w:rPr>
        <w:t>De la revisión a</w:t>
      </w:r>
      <w:r w:rsidR="001535F7">
        <w:rPr>
          <w:rFonts w:ascii="Palatino Linotype" w:hAnsi="Palatino Linotype" w:cs="Arial"/>
        </w:rPr>
        <w:t xml:space="preserve"> </w:t>
      </w:r>
      <w:r w:rsidR="00F8725E">
        <w:rPr>
          <w:rFonts w:ascii="Palatino Linotype" w:hAnsi="Palatino Linotype" w:cs="Arial"/>
        </w:rPr>
        <w:t>las constancias que obran en el</w:t>
      </w:r>
      <w:r w:rsidR="009818FB" w:rsidRPr="00A22E55">
        <w:rPr>
          <w:rFonts w:ascii="Palatino Linotype" w:hAnsi="Palatino Linotype" w:cs="Arial"/>
        </w:rPr>
        <w:t xml:space="preserve"> expediente electrónico se advierte que el tema sobre el que este Instituto se pronunciará será: </w:t>
      </w:r>
      <w:r w:rsidR="009818FB">
        <w:rPr>
          <w:rFonts w:ascii="Palatino Linotype" w:hAnsi="Palatino Linotype" w:cs="Arial"/>
          <w:b/>
        </w:rPr>
        <w:t xml:space="preserve">verificar si la respuesta otorgada </w:t>
      </w:r>
      <w:r w:rsidR="001535F7">
        <w:rPr>
          <w:rFonts w:ascii="Palatino Linotype" w:hAnsi="Palatino Linotype" w:cs="Arial"/>
          <w:b/>
        </w:rPr>
        <w:t>p</w:t>
      </w:r>
      <w:r w:rsidR="00F8725E">
        <w:rPr>
          <w:rFonts w:ascii="Palatino Linotype" w:hAnsi="Palatino Linotype" w:cs="Arial"/>
          <w:b/>
        </w:rPr>
        <w:t>or parte del Sujeto Obligado es</w:t>
      </w:r>
      <w:r w:rsidR="009818FB">
        <w:rPr>
          <w:rFonts w:ascii="Palatino Linotype" w:hAnsi="Palatino Linotype" w:cs="Arial"/>
          <w:b/>
        </w:rPr>
        <w:t xml:space="preserve"> correcta</w:t>
      </w:r>
      <w:r w:rsidR="00F8725E">
        <w:rPr>
          <w:rFonts w:ascii="Palatino Linotype" w:hAnsi="Palatino Linotype" w:cs="Arial"/>
          <w:b/>
        </w:rPr>
        <w:t xml:space="preserve"> y suficiente</w:t>
      </w:r>
      <w:r w:rsidR="009818FB">
        <w:rPr>
          <w:rFonts w:ascii="Palatino Linotype" w:hAnsi="Palatino Linotype" w:cs="Arial"/>
          <w:b/>
        </w:rPr>
        <w:t xml:space="preserve"> para satisfacer el derecho de acceso a la información pública de la</w:t>
      </w:r>
      <w:r w:rsidR="00E0270A">
        <w:rPr>
          <w:rFonts w:ascii="Palatino Linotype" w:hAnsi="Palatino Linotype" w:cs="Arial"/>
          <w:b/>
        </w:rPr>
        <w:t xml:space="preserve"> parte</w:t>
      </w:r>
      <w:r w:rsidR="009818FB">
        <w:rPr>
          <w:rFonts w:ascii="Palatino Linotype" w:hAnsi="Palatino Linotype" w:cs="Arial"/>
          <w:b/>
        </w:rPr>
        <w:t xml:space="preserve"> recurrente</w:t>
      </w:r>
      <w:r w:rsidR="00E0270A">
        <w:rPr>
          <w:rFonts w:ascii="Palatino Linotype" w:hAnsi="Palatino Linotype" w:cs="Arial"/>
          <w:b/>
        </w:rPr>
        <w:t xml:space="preserve"> o en su caso procede ordenar la entrega de alguna información</w:t>
      </w:r>
      <w:r w:rsidR="009818FB">
        <w:rPr>
          <w:rFonts w:ascii="Palatino Linotype" w:hAnsi="Palatino Linotype" w:cs="Arial"/>
          <w:b/>
        </w:rPr>
        <w:t>.</w:t>
      </w:r>
    </w:p>
    <w:p w14:paraId="06E5E406" w14:textId="4F989DD1" w:rsidR="006A51E5" w:rsidRDefault="00DB7502" w:rsidP="002F519D">
      <w:pPr>
        <w:spacing w:before="240" w:after="240" w:line="360" w:lineRule="auto"/>
        <w:ind w:right="51"/>
        <w:jc w:val="both"/>
        <w:rPr>
          <w:rFonts w:ascii="Palatino Linotype" w:hAnsi="Palatino Linotype"/>
        </w:rPr>
      </w:pPr>
      <w:r w:rsidRPr="008F7408">
        <w:rPr>
          <w:rFonts w:ascii="Palatino Linotype" w:hAnsi="Palatino Linotype"/>
          <w:b/>
        </w:rPr>
        <w:t xml:space="preserve">Cuarto. Estudio del asunto. </w:t>
      </w:r>
      <w:r w:rsidR="00F56BDA" w:rsidRPr="008F7408">
        <w:rPr>
          <w:rFonts w:ascii="Palatino Linotype" w:hAnsi="Palatino Linotype"/>
        </w:rPr>
        <w:t>Del análisis de la solicitud de información motivo de</w:t>
      </w:r>
      <w:r w:rsidR="00F8725E">
        <w:rPr>
          <w:rFonts w:ascii="Palatino Linotype" w:hAnsi="Palatino Linotype"/>
        </w:rPr>
        <w:t xml:space="preserve">l </w:t>
      </w:r>
      <w:r w:rsidR="00F56BDA" w:rsidRPr="008F7408">
        <w:rPr>
          <w:rFonts w:ascii="Palatino Linotype" w:hAnsi="Palatino Linotype"/>
        </w:rPr>
        <w:t>recurso de revisión que ahora se resuelve se advierte qu</w:t>
      </w:r>
      <w:r w:rsidR="00B363B4" w:rsidRPr="008F7408">
        <w:rPr>
          <w:rFonts w:ascii="Palatino Linotype" w:hAnsi="Palatino Linotype"/>
        </w:rPr>
        <w:t xml:space="preserve">e </w:t>
      </w:r>
      <w:r w:rsidR="006A0D5D">
        <w:rPr>
          <w:rFonts w:ascii="Palatino Linotype" w:hAnsi="Palatino Linotype"/>
        </w:rPr>
        <w:t>el</w:t>
      </w:r>
      <w:r w:rsidRPr="008F7408">
        <w:rPr>
          <w:rFonts w:ascii="Palatino Linotype" w:hAnsi="Palatino Linotype"/>
        </w:rPr>
        <w:t xml:space="preserve"> solicitante</w:t>
      </w:r>
      <w:r w:rsidR="00F56BDA" w:rsidRPr="008F7408">
        <w:rPr>
          <w:rFonts w:ascii="Palatino Linotype" w:hAnsi="Palatino Linotype"/>
        </w:rPr>
        <w:t xml:space="preserve"> </w:t>
      </w:r>
      <w:r w:rsidR="006A0D5D">
        <w:rPr>
          <w:rFonts w:ascii="Palatino Linotype" w:hAnsi="Palatino Linotype"/>
        </w:rPr>
        <w:t>peticionó</w:t>
      </w:r>
      <w:r w:rsidR="00F56BDA" w:rsidRPr="008F7408">
        <w:rPr>
          <w:rFonts w:ascii="Palatino Linotype" w:hAnsi="Palatino Linotype"/>
        </w:rPr>
        <w:t xml:space="preserve"> a</w:t>
      </w:r>
      <w:r w:rsidR="006A51E5">
        <w:rPr>
          <w:rFonts w:ascii="Palatino Linotype" w:hAnsi="Palatino Linotype"/>
        </w:rPr>
        <w:t>l Partido de la Revolución Democrática</w:t>
      </w:r>
      <w:r w:rsidR="006914C6">
        <w:rPr>
          <w:rFonts w:ascii="Palatino Linotype" w:hAnsi="Palatino Linotype"/>
        </w:rPr>
        <w:t xml:space="preserve">  le proporcionara lo siguiente:</w:t>
      </w:r>
    </w:p>
    <w:p w14:paraId="2CEB33A4" w14:textId="2C0184FA" w:rsidR="006914C6" w:rsidRDefault="006914C6" w:rsidP="006914C6">
      <w:pPr>
        <w:pStyle w:val="Prrafodelista"/>
        <w:numPr>
          <w:ilvl w:val="0"/>
          <w:numId w:val="32"/>
        </w:numPr>
        <w:spacing w:before="240" w:after="240" w:line="360" w:lineRule="auto"/>
        <w:ind w:right="51"/>
        <w:jc w:val="both"/>
        <w:rPr>
          <w:rFonts w:ascii="Palatino Linotype" w:hAnsi="Palatino Linotype"/>
        </w:rPr>
      </w:pPr>
      <w:r>
        <w:rPr>
          <w:rFonts w:ascii="Palatino Linotype" w:hAnsi="Palatino Linotype"/>
        </w:rPr>
        <w:t>El padrón de militantes y simpatizantes en el Municipio de Temascalcingo.</w:t>
      </w:r>
    </w:p>
    <w:p w14:paraId="4AABAF44" w14:textId="562F7B90" w:rsidR="006914C6" w:rsidRDefault="006914C6" w:rsidP="006914C6">
      <w:pPr>
        <w:pStyle w:val="Prrafodelista"/>
        <w:numPr>
          <w:ilvl w:val="0"/>
          <w:numId w:val="32"/>
        </w:numPr>
        <w:spacing w:before="240" w:after="240" w:line="360" w:lineRule="auto"/>
        <w:ind w:right="51"/>
        <w:jc w:val="both"/>
        <w:rPr>
          <w:rFonts w:ascii="Palatino Linotype" w:hAnsi="Palatino Linotype"/>
        </w:rPr>
      </w:pPr>
      <w:r>
        <w:rPr>
          <w:rFonts w:ascii="Palatino Linotype" w:hAnsi="Palatino Linotype"/>
        </w:rPr>
        <w:t>La Plataforma Electoral para el Municipio de Temascalcingo.</w:t>
      </w:r>
    </w:p>
    <w:p w14:paraId="2811D802" w14:textId="121A8AAA" w:rsidR="006914C6" w:rsidRPr="006914C6" w:rsidRDefault="006914C6" w:rsidP="002F519D">
      <w:pPr>
        <w:pStyle w:val="Prrafodelista"/>
        <w:numPr>
          <w:ilvl w:val="0"/>
          <w:numId w:val="32"/>
        </w:numPr>
        <w:spacing w:before="240" w:after="240" w:line="360" w:lineRule="auto"/>
        <w:ind w:right="51"/>
        <w:jc w:val="both"/>
        <w:rPr>
          <w:rFonts w:ascii="Palatino Linotype" w:hAnsi="Palatino Linotype"/>
        </w:rPr>
      </w:pPr>
      <w:r>
        <w:rPr>
          <w:rFonts w:ascii="Palatino Linotype" w:hAnsi="Palatino Linotype"/>
        </w:rPr>
        <w:lastRenderedPageBreak/>
        <w:t>Evidencia del cumplimiento de los requisitos de elegibilidad de los candidatos propietarios y suplentes integrantes de la planilla al Ayuntamiento de Temascalcingo.</w:t>
      </w:r>
    </w:p>
    <w:p w14:paraId="0EBDC127" w14:textId="533D8642" w:rsidR="006A0D5D" w:rsidRDefault="008A7409" w:rsidP="00E022CF">
      <w:pPr>
        <w:spacing w:before="240" w:after="240" w:line="360" w:lineRule="auto"/>
        <w:ind w:right="51"/>
        <w:jc w:val="both"/>
        <w:rPr>
          <w:rFonts w:ascii="Palatino Linotype" w:hAnsi="Palatino Linotype"/>
        </w:rPr>
      </w:pPr>
      <w:r w:rsidRPr="00DB7502">
        <w:rPr>
          <w:rFonts w:ascii="Palatino Linotype" w:hAnsi="Palatino Linotype"/>
        </w:rPr>
        <w:t>Por su parte,</w:t>
      </w:r>
      <w:r w:rsidR="00E67F4F" w:rsidRPr="00DB7502">
        <w:rPr>
          <w:rFonts w:ascii="Palatino Linotype" w:hAnsi="Palatino Linotype"/>
        </w:rPr>
        <w:t xml:space="preserve"> el Sujeto Obligado</w:t>
      </w:r>
      <w:r w:rsidR="00AB0F6C">
        <w:rPr>
          <w:rFonts w:ascii="Palatino Linotype" w:hAnsi="Palatino Linotype"/>
        </w:rPr>
        <w:t xml:space="preserve">, </w:t>
      </w:r>
      <w:r w:rsidR="006914C6">
        <w:rPr>
          <w:rFonts w:ascii="Palatino Linotype" w:hAnsi="Palatino Linotype"/>
        </w:rPr>
        <w:t xml:space="preserve">mediante archivos adjuntos a su respuesta proporcionó los acuerdos del IEEM por los se tuvieron por registrados </w:t>
      </w:r>
      <w:r w:rsidR="00BA23CB">
        <w:rPr>
          <w:rFonts w:ascii="Palatino Linotype" w:hAnsi="Palatino Linotype"/>
        </w:rPr>
        <w:t>las candidaturas a miembros de ayuntamientos del Estado de México por parte de la coalición de la que forma parte el Sujeto Obligado en el presente asunto, así como los acuerdos correspondientes a sustituciones de las candidaturas; de igual manera entregó la plataforma electoral municipal del Sujeto Obligado 2018-2021; y se manifestó respecto de la consulta del padrón de afiliados solicitado</w:t>
      </w:r>
      <w:r w:rsidR="006A0D5D">
        <w:rPr>
          <w:rFonts w:ascii="Palatino Linotype" w:hAnsi="Palatino Linotype"/>
        </w:rPr>
        <w:t>.</w:t>
      </w:r>
    </w:p>
    <w:p w14:paraId="637B36C5" w14:textId="3B485A97" w:rsidR="00EE45D5" w:rsidRDefault="009030B3" w:rsidP="009030B3">
      <w:pPr>
        <w:spacing w:before="240" w:after="240" w:line="360" w:lineRule="auto"/>
        <w:jc w:val="both"/>
        <w:rPr>
          <w:rFonts w:ascii="Palatino Linotype" w:hAnsi="Palatino Linotype"/>
        </w:rPr>
      </w:pPr>
      <w:r>
        <w:rPr>
          <w:rFonts w:ascii="Palatino Linotype" w:hAnsi="Palatino Linotype"/>
        </w:rPr>
        <w:t>Así</w:t>
      </w:r>
      <w:r w:rsidR="00F56BDA">
        <w:rPr>
          <w:rFonts w:ascii="Palatino Linotype" w:hAnsi="Palatino Linotype"/>
        </w:rPr>
        <w:t>,</w:t>
      </w:r>
      <w:r>
        <w:rPr>
          <w:rFonts w:ascii="Palatino Linotype" w:hAnsi="Palatino Linotype"/>
        </w:rPr>
        <w:t xml:space="preserve"> inconforme </w:t>
      </w:r>
      <w:r w:rsidR="00077FFE">
        <w:rPr>
          <w:rFonts w:ascii="Palatino Linotype" w:hAnsi="Palatino Linotype"/>
        </w:rPr>
        <w:t xml:space="preserve">con la respuesta </w:t>
      </w:r>
      <w:r w:rsidR="002518A3">
        <w:rPr>
          <w:rFonts w:ascii="Palatino Linotype" w:hAnsi="Palatino Linotype"/>
        </w:rPr>
        <w:t>el</w:t>
      </w:r>
      <w:r w:rsidR="00F56BDA">
        <w:rPr>
          <w:rFonts w:ascii="Palatino Linotype" w:hAnsi="Palatino Linotype"/>
        </w:rPr>
        <w:t xml:space="preserve"> </w:t>
      </w:r>
      <w:r w:rsidR="00E022CF">
        <w:rPr>
          <w:rFonts w:ascii="Palatino Linotype" w:hAnsi="Palatino Linotype"/>
        </w:rPr>
        <w:t>solicitante</w:t>
      </w:r>
      <w:r>
        <w:rPr>
          <w:rFonts w:ascii="Palatino Linotype" w:hAnsi="Palatino Linotype"/>
        </w:rPr>
        <w:t>,</w:t>
      </w:r>
      <w:r w:rsidR="00E67F4F">
        <w:rPr>
          <w:rFonts w:ascii="Palatino Linotype" w:hAnsi="Palatino Linotype"/>
        </w:rPr>
        <w:t xml:space="preserve"> </w:t>
      </w:r>
      <w:r w:rsidR="00077FFE">
        <w:rPr>
          <w:rFonts w:ascii="Palatino Linotype" w:hAnsi="Palatino Linotype"/>
        </w:rPr>
        <w:t xml:space="preserve">al interponer su recurso de revisión </w:t>
      </w:r>
      <w:r w:rsidR="00F40644">
        <w:rPr>
          <w:rFonts w:ascii="Palatino Linotype" w:hAnsi="Palatino Linotype"/>
        </w:rPr>
        <w:t xml:space="preserve">indica </w:t>
      </w:r>
      <w:r w:rsidR="00BA23CB">
        <w:rPr>
          <w:rFonts w:ascii="Palatino Linotype" w:hAnsi="Palatino Linotype"/>
        </w:rPr>
        <w:t>como motivos de inconformidad que la respuesta proporcionada por el Sujeto Obligado fue de manera parcial con relación a su solicitud, ya que omitió entregar el padrón de afiliados y/o simpatizante</w:t>
      </w:r>
      <w:r w:rsidR="00D70F8F">
        <w:rPr>
          <w:rFonts w:ascii="Palatino Linotype" w:hAnsi="Palatino Linotype"/>
        </w:rPr>
        <w:t>s del Municipio de Temascalcingo</w:t>
      </w:r>
      <w:r w:rsidR="00BA23CB">
        <w:rPr>
          <w:rFonts w:ascii="Palatino Linotype" w:hAnsi="Palatino Linotype"/>
        </w:rPr>
        <w:t>, ya que es información que dice debe tener en su poder</w:t>
      </w:r>
      <w:r w:rsidR="002518A3">
        <w:rPr>
          <w:rFonts w:ascii="Palatino Linotype" w:hAnsi="Palatino Linotype"/>
        </w:rPr>
        <w:t>.</w:t>
      </w:r>
      <w:r w:rsidR="00BA23CB">
        <w:rPr>
          <w:rFonts w:ascii="Palatino Linotype" w:hAnsi="Palatino Linotype"/>
        </w:rPr>
        <w:t xml:space="preserve"> Tales</w:t>
      </w:r>
      <w:r w:rsidR="00AE13DF">
        <w:rPr>
          <w:rFonts w:ascii="Palatino Linotype" w:hAnsi="Palatino Linotype"/>
        </w:rPr>
        <w:t xml:space="preserve"> motivos de disenso devienen parcialmente </w:t>
      </w:r>
      <w:r w:rsidR="00BA23CB">
        <w:rPr>
          <w:rFonts w:ascii="Palatino Linotype" w:hAnsi="Palatino Linotype"/>
        </w:rPr>
        <w:t>fundados por las consideraciones de derecho que se exponen en los párrafos subsecuentes.</w:t>
      </w:r>
    </w:p>
    <w:p w14:paraId="6E7D343C" w14:textId="61907893" w:rsidR="008055CD" w:rsidRDefault="008055CD" w:rsidP="008055CD">
      <w:pPr>
        <w:spacing w:before="100" w:beforeAutospacing="1" w:after="100" w:afterAutospacing="1" w:line="360" w:lineRule="auto"/>
        <w:jc w:val="both"/>
        <w:rPr>
          <w:rFonts w:ascii="Palatino Linotype" w:hAnsi="Palatino Linotype"/>
        </w:rPr>
      </w:pPr>
      <w:r>
        <w:rPr>
          <w:rFonts w:ascii="Palatino Linotype" w:hAnsi="Palatino Linotype"/>
        </w:rPr>
        <w:t>Primeramente,</w:t>
      </w:r>
      <w:r w:rsidRPr="006478C9">
        <w:rPr>
          <w:rFonts w:ascii="Palatino Linotype" w:hAnsi="Palatino Linotype" w:cs="Arial"/>
        </w:rPr>
        <w:t xml:space="preserve"> es de </w:t>
      </w:r>
      <w:r>
        <w:rPr>
          <w:rFonts w:ascii="Palatino Linotype" w:hAnsi="Palatino Linotype" w:cs="Arial"/>
        </w:rPr>
        <w:t>destacar</w:t>
      </w:r>
      <w:r w:rsidRPr="006478C9">
        <w:rPr>
          <w:rFonts w:ascii="Palatino Linotype" w:hAnsi="Palatino Linotype" w:cs="Arial"/>
        </w:rPr>
        <w:t xml:space="preserve"> que</w:t>
      </w:r>
      <w:r>
        <w:rPr>
          <w:rFonts w:ascii="Palatino Linotype" w:hAnsi="Palatino Linotype" w:cs="Arial"/>
        </w:rPr>
        <w:t xml:space="preserve"> el </w:t>
      </w:r>
      <w:r w:rsidRPr="006478C9">
        <w:rPr>
          <w:rFonts w:ascii="Palatino Linotype" w:hAnsi="Palatino Linotype" w:cs="Arial"/>
        </w:rPr>
        <w:t>recurrente al momento de expresar sus motivos de inconformidad en su recurso de revisión, se queja únicamente de la</w:t>
      </w:r>
      <w:r>
        <w:rPr>
          <w:rFonts w:ascii="Palatino Linotype" w:hAnsi="Palatino Linotype" w:cs="Arial"/>
        </w:rPr>
        <w:t xml:space="preserve"> respuesta al punto de su solicitud que ha sido señalado en la presente resolución con el arábigo 1, no así por la información proporcionada respecto de los arábigos restantes 2 y 3</w:t>
      </w:r>
      <w:r w:rsidRPr="006478C9">
        <w:rPr>
          <w:rFonts w:ascii="Palatino Linotype" w:hAnsi="Palatino Linotype" w:cs="Arial"/>
        </w:rPr>
        <w:t xml:space="preserve">; en ese sentido </w:t>
      </w:r>
      <w:r w:rsidRPr="006478C9">
        <w:rPr>
          <w:rFonts w:ascii="Palatino Linotype" w:hAnsi="Palatino Linotype"/>
        </w:rPr>
        <w:t>debe señalarse que el análisis del presente recurso versará únicamente</w:t>
      </w:r>
      <w:r>
        <w:rPr>
          <w:rFonts w:ascii="Palatino Linotype" w:hAnsi="Palatino Linotype"/>
        </w:rPr>
        <w:t xml:space="preserve"> sobre la respuesta respecto al punto controvertido, no respecto de la información </w:t>
      </w:r>
      <w:r>
        <w:rPr>
          <w:rFonts w:ascii="Palatino Linotype" w:hAnsi="Palatino Linotype"/>
        </w:rPr>
        <w:lastRenderedPageBreak/>
        <w:t>proporcionada como respuesta</w:t>
      </w:r>
      <w:r w:rsidR="00D70F8F">
        <w:rPr>
          <w:rFonts w:ascii="Palatino Linotype" w:hAnsi="Palatino Linotype"/>
        </w:rPr>
        <w:t xml:space="preserve"> a</w:t>
      </w:r>
      <w:r>
        <w:rPr>
          <w:rFonts w:ascii="Palatino Linotype" w:hAnsi="Palatino Linotype"/>
        </w:rPr>
        <w:t xml:space="preserve"> lo</w:t>
      </w:r>
      <w:r w:rsidR="00D70F8F">
        <w:rPr>
          <w:rFonts w:ascii="Palatino Linotype" w:hAnsi="Palatino Linotype"/>
        </w:rPr>
        <w:t>s</w:t>
      </w:r>
      <w:r>
        <w:rPr>
          <w:rFonts w:ascii="Palatino Linotype" w:hAnsi="Palatino Linotype"/>
        </w:rPr>
        <w:t xml:space="preserve"> demás, toda vez que no se expresó inconformidad al respecto, además de</w:t>
      </w:r>
      <w:r w:rsidR="00D70F8F">
        <w:rPr>
          <w:rFonts w:ascii="Palatino Linotype" w:hAnsi="Palatino Linotype"/>
        </w:rPr>
        <w:t xml:space="preserve"> que</w:t>
      </w:r>
      <w:r>
        <w:rPr>
          <w:rFonts w:ascii="Palatino Linotype" w:hAnsi="Palatino Linotype"/>
        </w:rPr>
        <w:t xml:space="preserve"> se denota que se realizó la entrega de información congruente con la expresamente solicitada.</w:t>
      </w:r>
    </w:p>
    <w:p w14:paraId="5449D75C" w14:textId="77777777" w:rsidR="008055CD" w:rsidRPr="006478C9" w:rsidRDefault="008055CD" w:rsidP="008055CD">
      <w:pPr>
        <w:spacing w:before="100" w:beforeAutospacing="1" w:after="100" w:afterAutospacing="1" w:line="360" w:lineRule="auto"/>
        <w:jc w:val="both"/>
        <w:rPr>
          <w:rFonts w:ascii="Palatino Linotype" w:hAnsi="Palatino Linotype" w:cs="Arial"/>
        </w:rPr>
      </w:pPr>
      <w:r>
        <w:rPr>
          <w:rFonts w:ascii="Palatino Linotype" w:hAnsi="Palatino Linotype"/>
        </w:rPr>
        <w:t xml:space="preserve">Lo anterior además aunado a que </w:t>
      </w:r>
      <w:r w:rsidRPr="006478C9">
        <w:rPr>
          <w:rFonts w:ascii="Palatino Linotype" w:hAnsi="Palatino Linotype"/>
        </w:rPr>
        <w:t>cuando la parte recurrente impugna la respuesta del Sujeto Obligado y no expresa razón o motivo de inconformidad en contra de todos los rubros de la respuesta que pudieran ser un agravio a su derecho, los mismos deben estimarse atendidos. Sirve de apoyo a lo anterior, por analogía, la Tesis Jurisprudencial Número 3ª./J.7/91, publicada en el Semanario Judicial de la Federación y su Gaceta bajo el número de registro 174,177, que establece lo siguiente:</w:t>
      </w:r>
    </w:p>
    <w:p w14:paraId="2FD7BE1D" w14:textId="77777777" w:rsidR="008055CD" w:rsidRPr="006478C9" w:rsidRDefault="008055CD" w:rsidP="008055CD">
      <w:pPr>
        <w:spacing w:before="100" w:beforeAutospacing="1" w:after="100" w:afterAutospacing="1"/>
        <w:ind w:left="851" w:right="900"/>
        <w:jc w:val="both"/>
        <w:rPr>
          <w:rFonts w:ascii="Palatino Linotype" w:hAnsi="Palatino Linotype"/>
          <w:sz w:val="22"/>
          <w:szCs w:val="22"/>
        </w:rPr>
      </w:pPr>
      <w:r w:rsidRPr="006478C9">
        <w:rPr>
          <w:rFonts w:ascii="Palatino Linotype" w:hAnsi="Palatino Linotype"/>
          <w:sz w:val="22"/>
          <w:szCs w:val="22"/>
        </w:rPr>
        <w:t>“</w:t>
      </w:r>
      <w:r w:rsidRPr="006478C9">
        <w:rPr>
          <w:rFonts w:ascii="Palatino Linotype" w:hAnsi="Palatino Linotype"/>
          <w:b/>
          <w:i/>
          <w:sz w:val="22"/>
          <w:szCs w:val="22"/>
        </w:rPr>
        <w:t>REVISIÓN EN AMPARO. LOS RESOLUTIVOS NO COMBATIDOS DEBEN DECLARARSE FIRMES</w:t>
      </w:r>
      <w:r w:rsidRPr="006478C9">
        <w:rPr>
          <w:rFonts w:ascii="Palatino Linotype" w:hAnsi="Palatino Linotype"/>
          <w:i/>
          <w:sz w:val="22"/>
          <w:szCs w:val="22"/>
        </w:rPr>
        <w:t>. 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14:paraId="02A52246" w14:textId="77777777" w:rsidR="008055CD" w:rsidRPr="006478C9" w:rsidRDefault="008055CD" w:rsidP="008055CD">
      <w:pPr>
        <w:spacing w:before="100" w:beforeAutospacing="1" w:after="100" w:afterAutospacing="1" w:line="360" w:lineRule="auto"/>
        <w:jc w:val="both"/>
        <w:rPr>
          <w:rFonts w:ascii="Palatino Linotype" w:hAnsi="Palatino Linotype"/>
        </w:rPr>
      </w:pPr>
      <w:r w:rsidRPr="006478C9">
        <w:rPr>
          <w:rFonts w:ascii="Palatino Linotype" w:hAnsi="Palatino Linotype"/>
        </w:rPr>
        <w:t>Así, la parte de la solicitud sobre la que no se expresó inconformidad, d</w:t>
      </w:r>
      <w:r>
        <w:rPr>
          <w:rFonts w:ascii="Palatino Linotype" w:hAnsi="Palatino Linotype"/>
        </w:rPr>
        <w:t>ebe declararse consentida por el</w:t>
      </w:r>
      <w:r w:rsidRPr="006478C9">
        <w:rPr>
          <w:rFonts w:ascii="Palatino Linotype" w:hAnsi="Palatino Linotype"/>
        </w:rPr>
        <w:t xml:space="preserve"> recurrente, ya que no pueden producirse efectos jurídicos tendentes a revocar, confirmar o modificar la parte de la respuesta con relación a la parte de la solicitud que no fue motivo de disenso ya que se infiere un consentimiento de</w:t>
      </w:r>
      <w:r>
        <w:rPr>
          <w:rFonts w:ascii="Palatino Linotype" w:hAnsi="Palatino Linotype"/>
        </w:rPr>
        <w:t xml:space="preserve"> </w:t>
      </w:r>
      <w:r w:rsidRPr="006478C9">
        <w:rPr>
          <w:rFonts w:ascii="Palatino Linotype" w:hAnsi="Palatino Linotype"/>
        </w:rPr>
        <w:t>l</w:t>
      </w:r>
      <w:r>
        <w:rPr>
          <w:rFonts w:ascii="Palatino Linotype" w:hAnsi="Palatino Linotype"/>
        </w:rPr>
        <w:t>a</w:t>
      </w:r>
      <w:r w:rsidRPr="006478C9">
        <w:rPr>
          <w:rFonts w:ascii="Palatino Linotype" w:hAnsi="Palatino Linotype"/>
        </w:rPr>
        <w:t xml:space="preserve"> recurrente ante la falta de impugnación eficaz. Sirve de sustento a lo anterior, por analogía, la tesis jurisprudencial número VI.3o.C. J/60, publicada en el Semanario Judicial de la Federación y su Gaceta bajo el número de registro 176,608 que a la letra dice:</w:t>
      </w:r>
    </w:p>
    <w:p w14:paraId="142092B3" w14:textId="77777777" w:rsidR="008055CD" w:rsidRPr="00F829DD" w:rsidRDefault="008055CD" w:rsidP="008055CD">
      <w:pPr>
        <w:spacing w:after="240"/>
        <w:ind w:left="851" w:right="900"/>
        <w:jc w:val="both"/>
        <w:rPr>
          <w:rFonts w:ascii="Palatino Linotype" w:hAnsi="Palatino Linotype"/>
        </w:rPr>
      </w:pPr>
      <w:r w:rsidRPr="006478C9">
        <w:rPr>
          <w:rFonts w:ascii="Palatino Linotype" w:hAnsi="Palatino Linotype"/>
          <w:i/>
          <w:sz w:val="22"/>
          <w:szCs w:val="22"/>
        </w:rPr>
        <w:lastRenderedPageBreak/>
        <w:t>“</w:t>
      </w:r>
      <w:r w:rsidRPr="006478C9">
        <w:rPr>
          <w:rFonts w:ascii="Palatino Linotype" w:hAnsi="Palatino Linotype"/>
          <w:b/>
          <w:i/>
          <w:sz w:val="22"/>
          <w:szCs w:val="22"/>
        </w:rPr>
        <w:t>ACTOS CONSENTIDOS. SON LOS QUE NO SE IMPUGNAN MEDIANTE EL RECURSO IDÓNEO</w:t>
      </w:r>
      <w:r w:rsidRPr="006478C9">
        <w:rPr>
          <w:rFonts w:ascii="Palatino Linotype" w:hAnsi="Palatino Linotype"/>
          <w:i/>
          <w:sz w:val="22"/>
          <w:szCs w:val="22"/>
        </w:rPr>
        <w:t>. 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40A8AA81" w14:textId="45E53634" w:rsidR="008055CD" w:rsidRPr="00F829DD" w:rsidRDefault="008055CD" w:rsidP="008055CD">
      <w:pPr>
        <w:spacing w:before="240" w:after="160" w:line="360" w:lineRule="auto"/>
        <w:jc w:val="both"/>
        <w:rPr>
          <w:rFonts w:ascii="Palatino Linotype" w:hAnsi="Palatino Linotype"/>
        </w:rPr>
      </w:pPr>
      <w:r w:rsidRPr="00F829DD">
        <w:rPr>
          <w:rFonts w:ascii="Palatino Linotype" w:hAnsi="Palatino Linotype"/>
        </w:rPr>
        <w:t xml:space="preserve">Además de que </w:t>
      </w:r>
      <w:r>
        <w:rPr>
          <w:rFonts w:ascii="Palatino Linotype" w:hAnsi="Palatino Linotype"/>
        </w:rPr>
        <w:t xml:space="preserve">se insiste que la información requerida en los puntos sobre los cuales no expresó agravió el recurrente, fue proporcionada por el Sujeto Obligado y la inconformidad solamente versa sobre lo relativo al punto 1, </w:t>
      </w:r>
      <w:r w:rsidRPr="00F829DD">
        <w:rPr>
          <w:rFonts w:ascii="Palatino Linotype" w:hAnsi="Palatino Linotype"/>
        </w:rPr>
        <w:t xml:space="preserve">de tal manera que sobre la </w:t>
      </w:r>
      <w:r>
        <w:rPr>
          <w:rFonts w:ascii="Palatino Linotype" w:hAnsi="Palatino Linotype" w:cs="Arial"/>
        </w:rPr>
        <w:t xml:space="preserve">información facilitada para atender los diversos 2 y 3, </w:t>
      </w:r>
      <w:r w:rsidRPr="00F829DD">
        <w:rPr>
          <w:rFonts w:ascii="Palatino Linotype" w:hAnsi="Palatino Linotype" w:cs="Arial"/>
        </w:rPr>
        <w:t xml:space="preserve">este Órgano Garante no se encuentra en posibilidades de </w:t>
      </w:r>
      <w:r w:rsidRPr="00F829DD">
        <w:rPr>
          <w:rFonts w:ascii="Palatino Linotype" w:hAnsi="Palatino Linotype"/>
        </w:rPr>
        <w:t>dudar de su veracidad, toda vez que no existe precepto normativo en las leyes de la materia por el que se le permita ello; es d</w:t>
      </w:r>
      <w:r>
        <w:rPr>
          <w:rFonts w:ascii="Palatino Linotype" w:hAnsi="Palatino Linotype"/>
        </w:rPr>
        <w:t>ecir, poner en tela de juicio</w:t>
      </w:r>
      <w:r w:rsidRPr="00F829DD">
        <w:rPr>
          <w:rFonts w:ascii="Palatino Linotype" w:hAnsi="Palatino Linotype"/>
        </w:rPr>
        <w:t xml:space="preserve"> lo manifestado o entregado por los Sujetos Obligados.</w:t>
      </w:r>
    </w:p>
    <w:p w14:paraId="21A200AA" w14:textId="77777777" w:rsidR="008055CD" w:rsidRPr="00F829DD" w:rsidRDefault="008055CD" w:rsidP="008055CD">
      <w:pPr>
        <w:spacing w:before="240" w:after="240" w:line="360" w:lineRule="auto"/>
        <w:jc w:val="both"/>
        <w:rPr>
          <w:rFonts w:ascii="Palatino Linotype" w:hAnsi="Palatino Linotype"/>
        </w:rPr>
      </w:pPr>
      <w:r w:rsidRPr="00F829DD">
        <w:rPr>
          <w:rFonts w:ascii="Palatino Linotype" w:hAnsi="Palatino Linotype"/>
        </w:rPr>
        <w:t xml:space="preserve">Tiene aplicación por analogía lo plasmando en el criterio 31-10 emitido por el entonces Instituto Federal de Acceso a la Información y Protección de Datos que lleva por rubro y texto los siguientes: </w:t>
      </w:r>
    </w:p>
    <w:p w14:paraId="60DC7640" w14:textId="5F003F84" w:rsidR="00BA23CB" w:rsidRDefault="008055CD" w:rsidP="008055CD">
      <w:pPr>
        <w:spacing w:before="240" w:after="240"/>
        <w:ind w:left="851" w:right="900"/>
        <w:jc w:val="both"/>
        <w:rPr>
          <w:rFonts w:ascii="Palatino Linotype" w:hAnsi="Palatino Linotype"/>
        </w:rPr>
      </w:pPr>
      <w:r w:rsidRPr="00F829DD">
        <w:rPr>
          <w:rFonts w:ascii="Palatino Linotype" w:hAnsi="Palatino Linotype"/>
          <w:i/>
          <w:sz w:val="22"/>
          <w:szCs w:val="22"/>
        </w:rPr>
        <w:t>“</w:t>
      </w:r>
      <w:r w:rsidRPr="00F829DD">
        <w:rPr>
          <w:rFonts w:ascii="Palatino Linotype" w:hAnsi="Palatino Linotype"/>
          <w:b/>
          <w:i/>
          <w:sz w:val="22"/>
          <w:szCs w:val="22"/>
        </w:rPr>
        <w:t>El Instituto Federal de Acceso a la Información y Protección de Datos no cuenta con facultades para pronunciarse respecto de la veracidad de los documentos proporcionados por los sujetos obligados.</w:t>
      </w:r>
      <w:r w:rsidRPr="00F829DD">
        <w:rPr>
          <w:rFonts w:ascii="Palatino Linotype" w:hAnsi="Palatino Linotype"/>
          <w:i/>
          <w:sz w:val="22"/>
          <w:szCs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6CA783F3" w14:textId="7C4621BB" w:rsidR="008055CD" w:rsidRDefault="00951F83" w:rsidP="005D69A9">
      <w:pPr>
        <w:spacing w:before="240" w:after="240" w:line="360" w:lineRule="auto"/>
        <w:jc w:val="both"/>
        <w:rPr>
          <w:rFonts w:ascii="Palatino Linotype" w:hAnsi="Palatino Linotype"/>
        </w:rPr>
      </w:pPr>
      <w:r>
        <w:rPr>
          <w:rFonts w:ascii="Palatino Linotype" w:hAnsi="Palatino Linotype"/>
        </w:rPr>
        <w:t>Ahora bien, en cuanto al punto materia de la controversia, se tiene que el recurrente peticionó el padrón de militantes o simpatizantes en el Municipio de Temascalcingo; al respecto el Sujeto Obligado manifestó que el Comité Ejecutivo Estatal de México, no tiene facultades para otorgar el padrón de afiliados debido a que la Comisión de Afiliación del Partido de la Revolución Democrática es la responsable de integrar el padrón de miembros por lo que sugirió al particular dirigir su solicitud de información a la Unidad de Transparencia del Partido de la Revolución Democrática  del Comité Nacional indicándole el link electrónico a través del cual podía realizarlo.</w:t>
      </w:r>
    </w:p>
    <w:p w14:paraId="32D73F64" w14:textId="670584B4" w:rsidR="005C4C2A" w:rsidRDefault="005C4C2A" w:rsidP="005D69A9">
      <w:pPr>
        <w:spacing w:before="240" w:after="240" w:line="360" w:lineRule="auto"/>
        <w:jc w:val="both"/>
        <w:rPr>
          <w:rFonts w:ascii="Palatino Linotype" w:hAnsi="Palatino Linotype"/>
        </w:rPr>
      </w:pPr>
      <w:r>
        <w:rPr>
          <w:rFonts w:ascii="Palatino Linotype" w:hAnsi="Palatino Linotype"/>
        </w:rPr>
        <w:t xml:space="preserve">No obstante lo anterior, en el mismo acto de respuesta el Sujeto Obligado le indicó al solicitante que la información también la podía consultar en la siguiente liga electrónica: </w:t>
      </w:r>
      <w:hyperlink r:id="rId12" w:history="1">
        <w:r w:rsidRPr="00310764">
          <w:rPr>
            <w:rStyle w:val="Hipervnculo"/>
            <w:rFonts w:ascii="Palatino Linotype" w:hAnsi="Palatino Linotype"/>
          </w:rPr>
          <w:t>http://transparencia.prd.org.mx/</w:t>
        </w:r>
      </w:hyperlink>
      <w:r>
        <w:rPr>
          <w:rFonts w:ascii="Palatino Linotype" w:hAnsi="Palatino Linotype"/>
        </w:rPr>
        <w:t>, señalándole a su vez los pasos a seguir para verificar la información de su interés.</w:t>
      </w:r>
    </w:p>
    <w:p w14:paraId="4ABBB930" w14:textId="0800D149" w:rsidR="005C4C2A" w:rsidRDefault="00D70F8F" w:rsidP="005D69A9">
      <w:pPr>
        <w:spacing w:before="240" w:after="240" w:line="360" w:lineRule="auto"/>
        <w:jc w:val="both"/>
        <w:rPr>
          <w:rFonts w:ascii="Palatino Linotype" w:hAnsi="Palatino Linotype"/>
        </w:rPr>
      </w:pPr>
      <w:r>
        <w:rPr>
          <w:rFonts w:ascii="Palatino Linotype" w:hAnsi="Palatino Linotype"/>
        </w:rPr>
        <w:t xml:space="preserve">Así las cosas, este </w:t>
      </w:r>
      <w:r w:rsidR="005C4C2A">
        <w:rPr>
          <w:rFonts w:ascii="Palatino Linotype" w:hAnsi="Palatino Linotype"/>
        </w:rPr>
        <w:t>Órgano Garante realizó la consulta de la liga electrónica referida por el Sujeto Obligado y seguidos los pasos referidos por éste, se obtuvo</w:t>
      </w:r>
      <w:r w:rsidR="005C4C2A" w:rsidRPr="00B15B49">
        <w:rPr>
          <w:rFonts w:ascii="Palatino Linotype" w:hAnsi="Palatino Linotype"/>
        </w:rPr>
        <w:t xml:space="preserve"> como resultado la descarga de un carpeta comprimida de archivos</w:t>
      </w:r>
      <w:r w:rsidR="005C4C2A">
        <w:rPr>
          <w:rFonts w:ascii="Palatino Linotype" w:hAnsi="Palatino Linotype"/>
        </w:rPr>
        <w:t>, misma</w:t>
      </w:r>
      <w:r w:rsidR="005C4C2A" w:rsidRPr="00B15B49">
        <w:rPr>
          <w:rFonts w:ascii="Palatino Linotype" w:hAnsi="Palatino Linotype"/>
        </w:rPr>
        <w:t xml:space="preserve"> que contiene por Estado de la República Mexicana el padrón de afiliados del partido, encontrándose dividido en dos partes para el Estado de México, es decir son dos archivos los que componen en su totalidad el padrón respectivo, </w:t>
      </w:r>
      <w:r w:rsidR="00833BE6">
        <w:rPr>
          <w:rFonts w:ascii="Palatino Linotype" w:hAnsi="Palatino Linotype"/>
        </w:rPr>
        <w:t>ta</w:t>
      </w:r>
      <w:r w:rsidR="00EB44A9">
        <w:rPr>
          <w:rFonts w:ascii="Palatino Linotype" w:hAnsi="Palatino Linotype"/>
        </w:rPr>
        <w:t>l y como se muestra con las siguientes imágenes:</w:t>
      </w:r>
    </w:p>
    <w:p w14:paraId="560222B2" w14:textId="14203B61" w:rsidR="00833BE6" w:rsidRDefault="00833BE6" w:rsidP="005D69A9">
      <w:pPr>
        <w:spacing w:before="240" w:after="240" w:line="360" w:lineRule="auto"/>
        <w:jc w:val="both"/>
        <w:rPr>
          <w:rFonts w:ascii="Palatino Linotype" w:hAnsi="Palatino Linotype"/>
        </w:rPr>
      </w:pPr>
      <w:r>
        <w:rPr>
          <w:rFonts w:ascii="Palatino Linotype" w:hAnsi="Palatino Linotype"/>
          <w:noProof/>
          <w:lang w:val="es-MX" w:eastAsia="es-MX"/>
        </w:rPr>
        <w:drawing>
          <wp:inline distT="0" distB="0" distL="0" distR="0" wp14:anchorId="4F73FC42" wp14:editId="5B2E23CC">
            <wp:extent cx="5605780" cy="4341495"/>
            <wp:effectExtent l="0" t="0" r="0" b="190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05780" cy="4341495"/>
                    </a:xfrm>
                    <a:prstGeom prst="rect">
                      <a:avLst/>
                    </a:prstGeom>
                    <a:noFill/>
                    <a:ln>
                      <a:noFill/>
                    </a:ln>
                  </pic:spPr>
                </pic:pic>
              </a:graphicData>
            </a:graphic>
          </wp:inline>
        </w:drawing>
      </w:r>
    </w:p>
    <w:p w14:paraId="3392ABCA" w14:textId="5AF2F7D3" w:rsidR="00833BE6" w:rsidRDefault="00E60788" w:rsidP="005D69A9">
      <w:pPr>
        <w:spacing w:before="240" w:after="240" w:line="360" w:lineRule="auto"/>
        <w:jc w:val="both"/>
        <w:rPr>
          <w:rFonts w:ascii="Palatino Linotype" w:hAnsi="Palatino Linotype"/>
        </w:rPr>
      </w:pPr>
      <w:r>
        <w:rPr>
          <w:rFonts w:ascii="Palatino Linotype" w:hAnsi="Palatino Linotype"/>
          <w:noProof/>
          <w:lang w:val="es-MX" w:eastAsia="es-MX"/>
        </w:rPr>
        <w:drawing>
          <wp:inline distT="0" distB="0" distL="0" distR="0" wp14:anchorId="25221810" wp14:editId="30201C85">
            <wp:extent cx="5577840" cy="1371600"/>
            <wp:effectExtent l="0" t="0" r="381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77840" cy="1371600"/>
                    </a:xfrm>
                    <a:prstGeom prst="rect">
                      <a:avLst/>
                    </a:prstGeom>
                    <a:noFill/>
                    <a:ln>
                      <a:noFill/>
                    </a:ln>
                  </pic:spPr>
                </pic:pic>
              </a:graphicData>
            </a:graphic>
          </wp:inline>
        </w:drawing>
      </w:r>
    </w:p>
    <w:p w14:paraId="2A2A0CED" w14:textId="15CD28F4" w:rsidR="00E60788" w:rsidRDefault="00E60788" w:rsidP="005D69A9">
      <w:pPr>
        <w:spacing w:before="240" w:after="240" w:line="360" w:lineRule="auto"/>
        <w:jc w:val="both"/>
        <w:rPr>
          <w:rFonts w:ascii="Palatino Linotype" w:hAnsi="Palatino Linotype"/>
        </w:rPr>
      </w:pPr>
      <w:r>
        <w:rPr>
          <w:rFonts w:ascii="Palatino Linotype" w:hAnsi="Palatino Linotype"/>
          <w:noProof/>
          <w:lang w:val="es-MX" w:eastAsia="es-MX"/>
        </w:rPr>
        <w:drawing>
          <wp:inline distT="0" distB="0" distL="0" distR="0" wp14:anchorId="04EF2B6C" wp14:editId="494FCF36">
            <wp:extent cx="5577840" cy="3291840"/>
            <wp:effectExtent l="0" t="0" r="3810" b="381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77840" cy="3291840"/>
                    </a:xfrm>
                    <a:prstGeom prst="rect">
                      <a:avLst/>
                    </a:prstGeom>
                    <a:noFill/>
                    <a:ln>
                      <a:noFill/>
                    </a:ln>
                  </pic:spPr>
                </pic:pic>
              </a:graphicData>
            </a:graphic>
          </wp:inline>
        </w:drawing>
      </w:r>
    </w:p>
    <w:p w14:paraId="361A4DDE" w14:textId="515B2340" w:rsidR="00E60788" w:rsidRDefault="00E60788" w:rsidP="005D69A9">
      <w:pPr>
        <w:spacing w:before="240" w:after="240" w:line="360" w:lineRule="auto"/>
        <w:jc w:val="both"/>
        <w:rPr>
          <w:rFonts w:ascii="Palatino Linotype" w:hAnsi="Palatino Linotype"/>
        </w:rPr>
      </w:pPr>
      <w:r>
        <w:rPr>
          <w:rFonts w:ascii="Palatino Linotype" w:hAnsi="Palatino Linotype"/>
        </w:rPr>
        <w:t>Sin embargo, ni la referencia de los pasos a seguir para la consulta de la información, ni la indicación del Sujeto Obligado competente para dar atención a la solicitud de información, logran atender conforme a derecho el punto de la solicitud materia de análisis.</w:t>
      </w:r>
    </w:p>
    <w:p w14:paraId="211C2F9B" w14:textId="49C0B7B8" w:rsidR="00E60788" w:rsidRDefault="00E60788" w:rsidP="005D69A9">
      <w:pPr>
        <w:spacing w:before="240" w:after="240" w:line="360" w:lineRule="auto"/>
        <w:jc w:val="both"/>
        <w:rPr>
          <w:rFonts w:ascii="Palatino Linotype" w:hAnsi="Palatino Linotype"/>
        </w:rPr>
      </w:pPr>
      <w:r>
        <w:rPr>
          <w:rFonts w:ascii="Palatino Linotype" w:hAnsi="Palatino Linotype"/>
        </w:rPr>
        <w:t>Lo anterior es así, en razón de que si bien es cierto con la consulta referida a la segunda liga electrónica referida por el Sujeto Obligado en su respuesta al punto 1 de la solicitud, se puede llegar a obtener el padrón de militantes del Sujeto Obligado, así como que el mismo es consultable por entidad federativa de la República Mexicana, lo cierto es que al examinar el correspondiente al Estado de México, únicamente se puede advertir el nombre y apellidos de los mi</w:t>
      </w:r>
      <w:r w:rsidR="00D70F8F">
        <w:rPr>
          <w:rFonts w:ascii="Palatino Linotype" w:hAnsi="Palatino Linotype"/>
        </w:rPr>
        <w:t>litantes y su fecha de vigencia</w:t>
      </w:r>
      <w:r>
        <w:rPr>
          <w:rFonts w:ascii="Palatino Linotype" w:hAnsi="Palatino Linotype"/>
        </w:rPr>
        <w:t>, empero no es posible distinguir el municipio al que pertenecen y por ende, no es posible que el recurrente, diferencie a los militantes del Sujeto Obligado del Municipio de Temascalcingo, como precisó que lo requería en su solicitud de acceso a la información pública.</w:t>
      </w:r>
    </w:p>
    <w:p w14:paraId="61E415DC" w14:textId="3EBA08C6" w:rsidR="0008721B" w:rsidRDefault="00E60788" w:rsidP="0008721B">
      <w:pPr>
        <w:spacing w:before="240" w:after="240" w:line="360" w:lineRule="auto"/>
        <w:jc w:val="both"/>
        <w:rPr>
          <w:rFonts w:ascii="Palatino Linotype" w:hAnsi="Palatino Linotype"/>
        </w:rPr>
      </w:pPr>
      <w:r>
        <w:rPr>
          <w:rFonts w:ascii="Palatino Linotype" w:hAnsi="Palatino Linotype"/>
        </w:rPr>
        <w:t xml:space="preserve">Luego entonces, con la información publicada, no se logra atender la parte de la </w:t>
      </w:r>
      <w:r w:rsidR="0008721B">
        <w:rPr>
          <w:rFonts w:ascii="Palatino Linotype" w:hAnsi="Palatino Linotype"/>
        </w:rPr>
        <w:t>solicitud</w:t>
      </w:r>
      <w:r>
        <w:rPr>
          <w:rFonts w:ascii="Palatino Linotype" w:hAnsi="Palatino Linotype"/>
        </w:rPr>
        <w:t xml:space="preserve"> que nos ocupa, siendo preciso resaltar al respecto que</w:t>
      </w:r>
      <w:r w:rsidR="0008721B">
        <w:rPr>
          <w:rFonts w:ascii="Palatino Linotype" w:hAnsi="Palatino Linotype"/>
        </w:rPr>
        <w:t xml:space="preserve"> la información relativa al padrón de afiliados o militantes, constituye una obligación de transparencia específica para los partidos políticos de conformidad con la Ley General de Transparencia y </w:t>
      </w:r>
      <w:r w:rsidR="0008721B" w:rsidRPr="00B15B49">
        <w:rPr>
          <w:rFonts w:ascii="Palatino Linotype" w:hAnsi="Palatino Linotype"/>
        </w:rPr>
        <w:t>Acceso a la Inf</w:t>
      </w:r>
      <w:r w:rsidR="0008721B">
        <w:rPr>
          <w:rFonts w:ascii="Palatino Linotype" w:hAnsi="Palatino Linotype"/>
        </w:rPr>
        <w:t>ormación Pública, así como con</w:t>
      </w:r>
      <w:r w:rsidR="0008721B" w:rsidRPr="00B15B49">
        <w:rPr>
          <w:rFonts w:ascii="Palatino Linotype" w:hAnsi="Palatino Linotype"/>
        </w:rPr>
        <w:t xml:space="preserve"> la Ley de Transparencia y Acceso a la Información Pública del Estado de México y Municipios, </w:t>
      </w:r>
      <w:r w:rsidR="0008721B">
        <w:rPr>
          <w:rFonts w:ascii="Palatino Linotype" w:hAnsi="Palatino Linotype"/>
        </w:rPr>
        <w:t>pues ello se encuentra así definido en</w:t>
      </w:r>
      <w:r w:rsidR="0008721B" w:rsidRPr="00B15B49">
        <w:rPr>
          <w:rFonts w:ascii="Palatino Linotype" w:hAnsi="Palatino Linotype"/>
        </w:rPr>
        <w:t xml:space="preserve"> sus artículos 76 y 100 respectivamente, que se leen como sigue:</w:t>
      </w:r>
    </w:p>
    <w:p w14:paraId="40353208" w14:textId="77777777" w:rsidR="0008721B" w:rsidRPr="00B15B49" w:rsidRDefault="0008721B" w:rsidP="0008721B">
      <w:pPr>
        <w:spacing w:before="240" w:after="240"/>
        <w:ind w:left="851" w:right="900"/>
        <w:jc w:val="both"/>
        <w:rPr>
          <w:rFonts w:ascii="Palatino Linotype" w:hAnsi="Palatino Linotype"/>
          <w:i/>
          <w:sz w:val="22"/>
          <w:szCs w:val="22"/>
        </w:rPr>
      </w:pPr>
      <w:r w:rsidRPr="00B15B49">
        <w:rPr>
          <w:rFonts w:ascii="Palatino Linotype" w:hAnsi="Palatino Linotype"/>
          <w:i/>
          <w:sz w:val="22"/>
          <w:szCs w:val="22"/>
        </w:rPr>
        <w:t>“</w:t>
      </w:r>
      <w:r w:rsidRPr="00B15B49">
        <w:rPr>
          <w:rFonts w:ascii="Palatino Linotype" w:hAnsi="Palatino Linotype"/>
          <w:b/>
          <w:i/>
          <w:sz w:val="22"/>
          <w:szCs w:val="22"/>
        </w:rPr>
        <w:t>Artículo 76.</w:t>
      </w:r>
      <w:r w:rsidRPr="00B15B49">
        <w:rPr>
          <w:rFonts w:ascii="Palatino Linotype" w:hAnsi="Palatino Linotype"/>
          <w:i/>
          <w:sz w:val="22"/>
          <w:szCs w:val="22"/>
        </w:rPr>
        <w:t xml:space="preserve"> Además de lo señalado en el artículo 70 de la presente Ley, </w:t>
      </w:r>
      <w:r w:rsidRPr="00B15B49">
        <w:rPr>
          <w:rFonts w:ascii="Palatino Linotype" w:hAnsi="Palatino Linotype"/>
          <w:b/>
          <w:i/>
          <w:sz w:val="22"/>
          <w:szCs w:val="22"/>
        </w:rPr>
        <w:t>los partidos políticos</w:t>
      </w:r>
      <w:r w:rsidRPr="00B15B49">
        <w:rPr>
          <w:rFonts w:ascii="Palatino Linotype" w:hAnsi="Palatino Linotype"/>
          <w:i/>
          <w:sz w:val="22"/>
          <w:szCs w:val="22"/>
        </w:rPr>
        <w:t xml:space="preserve"> nacionales y </w:t>
      </w:r>
      <w:r w:rsidRPr="00B15B49">
        <w:rPr>
          <w:rFonts w:ascii="Palatino Linotype" w:hAnsi="Palatino Linotype"/>
          <w:b/>
          <w:i/>
          <w:sz w:val="22"/>
          <w:szCs w:val="22"/>
        </w:rPr>
        <w:t>locales</w:t>
      </w:r>
      <w:r w:rsidRPr="00B15B49">
        <w:rPr>
          <w:rFonts w:ascii="Palatino Linotype" w:hAnsi="Palatino Linotype"/>
          <w:i/>
          <w:sz w:val="22"/>
          <w:szCs w:val="22"/>
        </w:rPr>
        <w:t xml:space="preserve">, las agrupaciones políticas nacionales y las personas morales constituidas en asociación civil creadas por los ciudadanos que pretendan postular su candidatura independiente, según corresponda, </w:t>
      </w:r>
      <w:r w:rsidRPr="00B15B49">
        <w:rPr>
          <w:rFonts w:ascii="Palatino Linotype" w:hAnsi="Palatino Linotype"/>
          <w:b/>
          <w:i/>
          <w:sz w:val="22"/>
          <w:szCs w:val="22"/>
        </w:rPr>
        <w:t>deberán poner a disposición del público y actualizar la siguiente información</w:t>
      </w:r>
      <w:r w:rsidRPr="00B15B49">
        <w:rPr>
          <w:rFonts w:ascii="Palatino Linotype" w:hAnsi="Palatino Linotype"/>
          <w:i/>
          <w:sz w:val="22"/>
          <w:szCs w:val="22"/>
        </w:rPr>
        <w:t xml:space="preserve">: </w:t>
      </w:r>
    </w:p>
    <w:p w14:paraId="01EF5CFD" w14:textId="6250CA16" w:rsidR="0008721B" w:rsidRDefault="0008721B" w:rsidP="0008721B">
      <w:pPr>
        <w:spacing w:before="240" w:after="240"/>
        <w:ind w:left="851" w:right="900"/>
        <w:jc w:val="both"/>
        <w:rPr>
          <w:rFonts w:ascii="Palatino Linotype" w:hAnsi="Palatino Linotype"/>
          <w:i/>
          <w:sz w:val="22"/>
          <w:szCs w:val="22"/>
        </w:rPr>
      </w:pPr>
      <w:r w:rsidRPr="00B15B49">
        <w:rPr>
          <w:rFonts w:ascii="Palatino Linotype" w:hAnsi="Palatino Linotype"/>
          <w:b/>
          <w:i/>
          <w:sz w:val="22"/>
          <w:szCs w:val="22"/>
        </w:rPr>
        <w:t xml:space="preserve">I. El padrón de afiliados o militantes de los partidos políticos, </w:t>
      </w:r>
      <w:r w:rsidRPr="00B15B49">
        <w:rPr>
          <w:rFonts w:ascii="Palatino Linotype" w:hAnsi="Palatino Linotype"/>
          <w:i/>
          <w:sz w:val="22"/>
          <w:szCs w:val="22"/>
        </w:rPr>
        <w:t>que contendrá, exclusivamente: apellidos, nombre o nombres, fecha de afiliación y entidad de residencia;</w:t>
      </w:r>
      <w:r>
        <w:rPr>
          <w:rFonts w:ascii="Palatino Linotype" w:hAnsi="Palatino Linotype"/>
          <w:i/>
          <w:sz w:val="22"/>
          <w:szCs w:val="22"/>
        </w:rPr>
        <w:t>…”</w:t>
      </w:r>
    </w:p>
    <w:p w14:paraId="305CBA7D" w14:textId="77777777" w:rsidR="0008721B" w:rsidRPr="00B15B49" w:rsidRDefault="0008721B" w:rsidP="0008721B">
      <w:pPr>
        <w:spacing w:before="240" w:after="240"/>
        <w:ind w:left="851" w:right="900"/>
        <w:jc w:val="both"/>
        <w:rPr>
          <w:rFonts w:ascii="Palatino Linotype" w:hAnsi="Palatino Linotype"/>
          <w:i/>
          <w:sz w:val="22"/>
          <w:szCs w:val="22"/>
        </w:rPr>
      </w:pPr>
      <w:r w:rsidRPr="00B15B49">
        <w:rPr>
          <w:rFonts w:ascii="Palatino Linotype" w:hAnsi="Palatino Linotype"/>
          <w:i/>
          <w:sz w:val="22"/>
          <w:szCs w:val="22"/>
        </w:rPr>
        <w:t>“</w:t>
      </w:r>
      <w:r w:rsidRPr="00B15B49">
        <w:rPr>
          <w:rFonts w:ascii="Palatino Linotype" w:hAnsi="Palatino Linotype"/>
          <w:b/>
          <w:i/>
          <w:sz w:val="22"/>
          <w:szCs w:val="22"/>
        </w:rPr>
        <w:t>Artículo 100.</w:t>
      </w:r>
      <w:r w:rsidRPr="00B15B49">
        <w:rPr>
          <w:rFonts w:ascii="Palatino Linotype" w:hAnsi="Palatino Linotype"/>
          <w:i/>
          <w:sz w:val="22"/>
          <w:szCs w:val="22"/>
        </w:rPr>
        <w:t xml:space="preserve"> </w:t>
      </w:r>
      <w:r w:rsidRPr="00B15B49">
        <w:rPr>
          <w:rFonts w:ascii="Palatino Linotype" w:hAnsi="Palatino Linotype"/>
          <w:b/>
          <w:i/>
          <w:sz w:val="22"/>
          <w:szCs w:val="22"/>
        </w:rPr>
        <w:t>Los partidos políticos nacionales acreditados para participar en elecciones locales y los partidos locales</w:t>
      </w:r>
      <w:r w:rsidRPr="00B15B49">
        <w:rPr>
          <w:rFonts w:ascii="Palatino Linotype" w:hAnsi="Palatino Linotype"/>
          <w:i/>
          <w:sz w:val="22"/>
          <w:szCs w:val="22"/>
        </w:rPr>
        <w:t xml:space="preserve">, </w:t>
      </w:r>
      <w:r w:rsidRPr="00B15B49">
        <w:rPr>
          <w:rFonts w:ascii="Palatino Linotype" w:hAnsi="Palatino Linotype"/>
          <w:b/>
          <w:i/>
          <w:sz w:val="22"/>
          <w:szCs w:val="22"/>
          <w:u w:val="single"/>
        </w:rPr>
        <w:t>en cuanto hace a sus órganos directivos estatales y municipales</w:t>
      </w:r>
      <w:r w:rsidRPr="00B15B49">
        <w:rPr>
          <w:rFonts w:ascii="Palatino Linotype" w:hAnsi="Palatino Linotype"/>
          <w:i/>
          <w:sz w:val="22"/>
          <w:szCs w:val="22"/>
        </w:rPr>
        <w:t xml:space="preserve">, las agrupaciones políticas y las personas jurídicas colectivas constituidas en asociación civil creadas por los ciudadanos que pretendan postular su candidatura independiente, según corresponda, </w:t>
      </w:r>
      <w:r w:rsidRPr="00B15B49">
        <w:rPr>
          <w:rFonts w:ascii="Palatino Linotype" w:hAnsi="Palatino Linotype"/>
          <w:b/>
          <w:i/>
          <w:sz w:val="22"/>
          <w:szCs w:val="22"/>
        </w:rPr>
        <w:t xml:space="preserve">deberán poner a disposición del público y actualizar la siguiente información: </w:t>
      </w:r>
    </w:p>
    <w:p w14:paraId="706B1FFA" w14:textId="5B52A2C3" w:rsidR="0008721B" w:rsidRPr="00B15B49" w:rsidRDefault="0008721B" w:rsidP="0008721B">
      <w:pPr>
        <w:spacing w:before="240" w:after="240"/>
        <w:ind w:left="851" w:right="900"/>
        <w:jc w:val="both"/>
        <w:rPr>
          <w:rFonts w:ascii="Palatino Linotype" w:hAnsi="Palatino Linotype"/>
          <w:i/>
          <w:sz w:val="22"/>
          <w:szCs w:val="22"/>
        </w:rPr>
      </w:pPr>
      <w:r w:rsidRPr="00B15B49">
        <w:rPr>
          <w:rFonts w:ascii="Palatino Linotype" w:hAnsi="Palatino Linotype"/>
          <w:b/>
          <w:i/>
          <w:sz w:val="22"/>
          <w:szCs w:val="22"/>
        </w:rPr>
        <w:t>I. El padrón de afiliados o militantes</w:t>
      </w:r>
      <w:r w:rsidRPr="00B15B49">
        <w:rPr>
          <w:rFonts w:ascii="Palatino Linotype" w:hAnsi="Palatino Linotype"/>
          <w:i/>
          <w:sz w:val="22"/>
          <w:szCs w:val="22"/>
        </w:rPr>
        <w:t xml:space="preserve"> de los partidos políticos estatales, que contendrá exclusivamente: apellidos, nombre o nombres, fechas de afil</w:t>
      </w:r>
      <w:r>
        <w:rPr>
          <w:rFonts w:ascii="Palatino Linotype" w:hAnsi="Palatino Linotype"/>
          <w:i/>
          <w:sz w:val="22"/>
          <w:szCs w:val="22"/>
        </w:rPr>
        <w:t>iación y entidad de residencia;…”</w:t>
      </w:r>
    </w:p>
    <w:p w14:paraId="2AECA114" w14:textId="3F8E48DF" w:rsidR="00E60788" w:rsidRDefault="00D70F8F" w:rsidP="005D69A9">
      <w:pPr>
        <w:spacing w:before="240" w:after="240" w:line="360" w:lineRule="auto"/>
        <w:jc w:val="both"/>
        <w:rPr>
          <w:rFonts w:ascii="Palatino Linotype" w:hAnsi="Palatino Linotype"/>
        </w:rPr>
      </w:pPr>
      <w:r>
        <w:rPr>
          <w:rFonts w:ascii="Palatino Linotype" w:hAnsi="Palatino Linotype"/>
        </w:rPr>
        <w:t>En esa tesitura</w:t>
      </w:r>
      <w:r w:rsidR="0008721B" w:rsidRPr="0008721B">
        <w:rPr>
          <w:rFonts w:ascii="Palatino Linotype" w:hAnsi="Palatino Linotype"/>
        </w:rPr>
        <w:t xml:space="preserve">, de acuerdo con el anexo XI de </w:t>
      </w:r>
      <w:r w:rsidR="0008721B" w:rsidRPr="0008721B">
        <w:rPr>
          <w:rFonts w:ascii="Palatino Linotype" w:hAnsi="Palatino Linotype"/>
          <w:i/>
        </w:rPr>
        <w:t>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w:t>
      </w:r>
      <w:r w:rsidR="0008721B">
        <w:rPr>
          <w:rFonts w:ascii="Palatino Linotype" w:hAnsi="Palatino Linotype"/>
        </w:rPr>
        <w:t>, se tiene que dentro de los criterios de contenido para la publicación en los portales de internet y de transparencia del padrón de afiliados o militantes, que deben observar los partidos políticos es que el respectivo padrón debe señalar el municipio o demarcación territorial de residencia del afiliado o militante, según se muestra con la siguiente imagen:</w:t>
      </w:r>
    </w:p>
    <w:p w14:paraId="6223FF1C" w14:textId="69D4C958" w:rsidR="0008721B" w:rsidRDefault="0008721B" w:rsidP="0038406B">
      <w:pPr>
        <w:jc w:val="both"/>
        <w:rPr>
          <w:rFonts w:ascii="Palatino Linotype" w:hAnsi="Palatino Linotype"/>
        </w:rPr>
      </w:pPr>
      <w:r>
        <w:rPr>
          <w:rFonts w:ascii="Palatino Linotype" w:hAnsi="Palatino Linotype"/>
          <w:noProof/>
          <w:lang w:val="es-MX" w:eastAsia="es-MX"/>
        </w:rPr>
        <w:drawing>
          <wp:inline distT="0" distB="0" distL="0" distR="0" wp14:anchorId="7715C637" wp14:editId="6652EADE">
            <wp:extent cx="5533887" cy="2782594"/>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47305" cy="2789341"/>
                    </a:xfrm>
                    <a:prstGeom prst="rect">
                      <a:avLst/>
                    </a:prstGeom>
                    <a:noFill/>
                    <a:ln>
                      <a:noFill/>
                    </a:ln>
                  </pic:spPr>
                </pic:pic>
              </a:graphicData>
            </a:graphic>
          </wp:inline>
        </w:drawing>
      </w:r>
    </w:p>
    <w:p w14:paraId="233D1F98" w14:textId="2C7972CA" w:rsidR="0008721B" w:rsidRDefault="0038406B" w:rsidP="0038406B">
      <w:pPr>
        <w:spacing w:before="240"/>
        <w:jc w:val="both"/>
        <w:rPr>
          <w:rFonts w:ascii="Palatino Linotype" w:hAnsi="Palatino Linotype"/>
        </w:rPr>
      </w:pPr>
      <w:r>
        <w:rPr>
          <w:rFonts w:ascii="Palatino Linotype" w:hAnsi="Palatino Linotype"/>
        </w:rPr>
        <w:t>(…)</w:t>
      </w:r>
    </w:p>
    <w:p w14:paraId="3CC353FA" w14:textId="5214168B" w:rsidR="0038406B" w:rsidRDefault="0038406B" w:rsidP="0038406B">
      <w:pPr>
        <w:spacing w:after="240"/>
        <w:jc w:val="both"/>
        <w:rPr>
          <w:rFonts w:ascii="Palatino Linotype" w:hAnsi="Palatino Linotype"/>
        </w:rPr>
      </w:pPr>
      <w:r>
        <w:rPr>
          <w:rFonts w:ascii="Palatino Linotype" w:hAnsi="Palatino Linotype"/>
          <w:noProof/>
          <w:lang w:val="es-MX" w:eastAsia="es-MX"/>
        </w:rPr>
        <w:drawing>
          <wp:inline distT="0" distB="0" distL="0" distR="0" wp14:anchorId="60907593" wp14:editId="3FE512EE">
            <wp:extent cx="5613400" cy="1184910"/>
            <wp:effectExtent l="0" t="0" r="635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13400" cy="1184910"/>
                    </a:xfrm>
                    <a:prstGeom prst="rect">
                      <a:avLst/>
                    </a:prstGeom>
                    <a:noFill/>
                    <a:ln>
                      <a:noFill/>
                    </a:ln>
                  </pic:spPr>
                </pic:pic>
              </a:graphicData>
            </a:graphic>
          </wp:inline>
        </w:drawing>
      </w:r>
    </w:p>
    <w:p w14:paraId="7AA23959" w14:textId="0092C430" w:rsidR="00EB44A9" w:rsidRDefault="0038406B" w:rsidP="005D69A9">
      <w:pPr>
        <w:spacing w:before="240" w:after="240" w:line="360" w:lineRule="auto"/>
        <w:jc w:val="both"/>
        <w:rPr>
          <w:rFonts w:ascii="Palatino Linotype" w:hAnsi="Palatino Linotype"/>
        </w:rPr>
      </w:pPr>
      <w:r>
        <w:rPr>
          <w:rFonts w:ascii="Palatino Linotype" w:hAnsi="Palatino Linotype"/>
        </w:rPr>
        <w:t>En tal tesitura</w:t>
      </w:r>
      <w:r w:rsidR="00D70F8F">
        <w:rPr>
          <w:rFonts w:ascii="Palatino Linotype" w:hAnsi="Palatino Linotype"/>
        </w:rPr>
        <w:t>, se denota que de acuerdo a lo</w:t>
      </w:r>
      <w:r>
        <w:rPr>
          <w:rFonts w:ascii="Palatino Linotype" w:hAnsi="Palatino Linotype"/>
        </w:rPr>
        <w:t xml:space="preserve"> establecido por el Sistema Nacional de Transparencia es necesario que la publicación relativa al padrón de afiliados de los partidos políticos contenga el municipio o demarcación territorial del militante, lo que indica que es posible que el ahora recurrente pueda obtener la información al grado de detalle que lo requiere; y por ende su solicitud no fue satisfecha aún y cuando el Sujeto Obligado le indicó la liga electrónica y pasos a seguir para la consulta del padrón de militantes publicado en la página de transparencia del Partido Nacional.</w:t>
      </w:r>
    </w:p>
    <w:p w14:paraId="2C87EB37" w14:textId="2123A7B9" w:rsidR="0038406B" w:rsidRPr="00D70F8F" w:rsidRDefault="0038406B" w:rsidP="005D69A9">
      <w:pPr>
        <w:spacing w:before="240" w:after="240" w:line="360" w:lineRule="auto"/>
        <w:jc w:val="both"/>
        <w:rPr>
          <w:rFonts w:ascii="Palatino Linotype" w:hAnsi="Palatino Linotype"/>
        </w:rPr>
      </w:pPr>
      <w:r w:rsidRPr="00D70F8F">
        <w:rPr>
          <w:rFonts w:ascii="Palatino Linotype" w:hAnsi="Palatino Linotype"/>
        </w:rPr>
        <w:t>Ahora bien, lo anterior no implica que el Sujeto Obligado deba contar con la información requerida por el particular, pues si bien como se ha visto, el padrón de afiliados o militantes se encuentra establecida como una obligación de transparencia para los partidos políticos en la Ley que rige la materia de trasparencia en esta Entidad</w:t>
      </w:r>
      <w:r w:rsidR="00CB7A1D" w:rsidRPr="00D70F8F">
        <w:rPr>
          <w:rFonts w:ascii="Palatino Linotype" w:hAnsi="Palatino Linotype"/>
        </w:rPr>
        <w:t xml:space="preserve"> y que por ello</w:t>
      </w:r>
      <w:r w:rsidRPr="00D70F8F">
        <w:rPr>
          <w:rFonts w:ascii="Palatino Linotype" w:hAnsi="Palatino Linotype"/>
        </w:rPr>
        <w:t xml:space="preserve"> se presupone que debería contar con dicha informaci</w:t>
      </w:r>
      <w:r w:rsidR="00CB7A1D" w:rsidRPr="00D70F8F">
        <w:rPr>
          <w:rFonts w:ascii="Palatino Linotype" w:hAnsi="Palatino Linotype"/>
        </w:rPr>
        <w:t>ón; atendiendo a la respuesta del Sujeto Obligado en relación a que el Comité Ejecutivo Estatal del Estado de México no tiene facultades para otorgar el padrón de afiliados, puesto que dicha información le corresponde a la Comisión de Afiliación del Partido de la Revolución Democrática, se hace indispensable citar los Estatutos del Partido en su parte siguiente:</w:t>
      </w:r>
    </w:p>
    <w:p w14:paraId="69B6B3FC" w14:textId="7AF8DECA" w:rsidR="00CB7A1D" w:rsidRPr="007F68FF" w:rsidRDefault="00CB7A1D" w:rsidP="007F68FF">
      <w:pPr>
        <w:spacing w:before="240" w:after="240"/>
        <w:ind w:left="851" w:right="900"/>
        <w:jc w:val="both"/>
        <w:rPr>
          <w:rFonts w:ascii="Palatino Linotype" w:hAnsi="Palatino Linotype"/>
          <w:i/>
          <w:sz w:val="22"/>
        </w:rPr>
      </w:pPr>
      <w:r w:rsidRPr="007F68FF">
        <w:rPr>
          <w:rFonts w:ascii="Palatino Linotype" w:hAnsi="Palatino Linotype"/>
          <w:i/>
          <w:color w:val="C00000"/>
          <w:sz w:val="22"/>
        </w:rPr>
        <w:t>“</w:t>
      </w:r>
      <w:r w:rsidRPr="007F68FF">
        <w:rPr>
          <w:rFonts w:ascii="Palatino Linotype" w:hAnsi="Palatino Linotype"/>
          <w:i/>
          <w:sz w:val="22"/>
        </w:rPr>
        <w:t xml:space="preserve">Artículo 130. </w:t>
      </w:r>
      <w:r w:rsidRPr="007F68FF">
        <w:rPr>
          <w:rFonts w:ascii="Palatino Linotype" w:hAnsi="Palatino Linotype"/>
          <w:b/>
          <w:i/>
          <w:sz w:val="22"/>
        </w:rPr>
        <w:t>Las Comisiones Nacionales del Partido</w:t>
      </w:r>
      <w:r w:rsidRPr="007F68FF">
        <w:rPr>
          <w:rFonts w:ascii="Palatino Linotype" w:hAnsi="Palatino Linotype"/>
          <w:i/>
          <w:sz w:val="22"/>
        </w:rPr>
        <w:t xml:space="preserve"> son:</w:t>
      </w:r>
    </w:p>
    <w:p w14:paraId="3887ED4F" w14:textId="4898E875" w:rsidR="00CB7A1D" w:rsidRPr="007F68FF" w:rsidRDefault="00CB7A1D" w:rsidP="007F68FF">
      <w:pPr>
        <w:spacing w:before="240" w:after="240"/>
        <w:ind w:left="851" w:right="900"/>
        <w:jc w:val="both"/>
        <w:rPr>
          <w:rFonts w:ascii="Palatino Linotype" w:hAnsi="Palatino Linotype"/>
          <w:i/>
          <w:sz w:val="22"/>
        </w:rPr>
      </w:pPr>
      <w:r w:rsidRPr="007F68FF">
        <w:rPr>
          <w:rFonts w:ascii="Palatino Linotype" w:hAnsi="Palatino Linotype"/>
          <w:i/>
          <w:sz w:val="22"/>
        </w:rPr>
        <w:t>(…)</w:t>
      </w:r>
    </w:p>
    <w:p w14:paraId="63E0F80D" w14:textId="7822B41A" w:rsidR="00CB7A1D" w:rsidRPr="007F68FF" w:rsidRDefault="00CB7A1D" w:rsidP="007F68FF">
      <w:pPr>
        <w:spacing w:before="240" w:after="240"/>
        <w:ind w:left="851" w:right="900"/>
        <w:jc w:val="both"/>
        <w:rPr>
          <w:rFonts w:ascii="Palatino Linotype" w:hAnsi="Palatino Linotype"/>
          <w:i/>
          <w:sz w:val="22"/>
        </w:rPr>
      </w:pPr>
      <w:r w:rsidRPr="007F68FF">
        <w:rPr>
          <w:rFonts w:ascii="Palatino Linotype" w:hAnsi="Palatino Linotype"/>
          <w:i/>
          <w:sz w:val="22"/>
        </w:rPr>
        <w:t xml:space="preserve">d) </w:t>
      </w:r>
      <w:r w:rsidRPr="007F68FF">
        <w:rPr>
          <w:rFonts w:ascii="Palatino Linotype" w:hAnsi="Palatino Linotype"/>
          <w:b/>
          <w:i/>
          <w:sz w:val="22"/>
        </w:rPr>
        <w:t>La Comisión de Afiliación del Comité Ejecutivo Nacional</w:t>
      </w:r>
      <w:r w:rsidRPr="007F68FF">
        <w:rPr>
          <w:rFonts w:ascii="Palatino Linotype" w:hAnsi="Palatino Linotype"/>
          <w:i/>
          <w:sz w:val="22"/>
        </w:rPr>
        <w:t xml:space="preserve"> que es un órgano dependiente del Comité Ejecutivo Nacional, con presupuesto suficiente para cumplir con sus tareas, mismo que será aprobado por el Consejo Nacional;…”</w:t>
      </w:r>
    </w:p>
    <w:p w14:paraId="2C0A5E8F" w14:textId="77777777" w:rsidR="00CB7A1D" w:rsidRPr="007F68FF" w:rsidRDefault="00CB7A1D" w:rsidP="007F68FF">
      <w:pPr>
        <w:spacing w:before="240" w:after="240"/>
        <w:ind w:left="851" w:right="900"/>
        <w:jc w:val="both"/>
        <w:rPr>
          <w:rFonts w:ascii="Palatino Linotype" w:hAnsi="Palatino Linotype"/>
          <w:i/>
          <w:sz w:val="22"/>
        </w:rPr>
      </w:pPr>
      <w:r w:rsidRPr="007F68FF">
        <w:rPr>
          <w:rFonts w:ascii="Palatino Linotype" w:hAnsi="Palatino Linotype"/>
          <w:i/>
          <w:sz w:val="22"/>
        </w:rPr>
        <w:t>“</w:t>
      </w:r>
      <w:r w:rsidRPr="00434DDA">
        <w:rPr>
          <w:rFonts w:ascii="Palatino Linotype" w:hAnsi="Palatino Linotype"/>
          <w:b/>
          <w:i/>
          <w:sz w:val="22"/>
        </w:rPr>
        <w:t>Artículo 168.</w:t>
      </w:r>
      <w:r w:rsidRPr="007F68FF">
        <w:rPr>
          <w:rFonts w:ascii="Palatino Linotype" w:hAnsi="Palatino Linotype"/>
          <w:i/>
          <w:sz w:val="22"/>
        </w:rPr>
        <w:t xml:space="preserve"> </w:t>
      </w:r>
      <w:r w:rsidRPr="007F68FF">
        <w:rPr>
          <w:rFonts w:ascii="Palatino Linotype" w:hAnsi="Palatino Linotype"/>
          <w:b/>
          <w:i/>
          <w:sz w:val="22"/>
        </w:rPr>
        <w:t>La Comisión de Afiliación del Comité Ejecutivo Nacional es la responsable de integrar el Padrón de Afiliados y el Listado Nominal del Partido</w:t>
      </w:r>
      <w:r w:rsidRPr="007F68FF">
        <w:rPr>
          <w:rFonts w:ascii="Palatino Linotype" w:hAnsi="Palatino Linotype"/>
          <w:i/>
          <w:sz w:val="22"/>
        </w:rPr>
        <w:t xml:space="preserve">. </w:t>
      </w:r>
    </w:p>
    <w:p w14:paraId="66644347" w14:textId="24DA6386" w:rsidR="00CB7A1D" w:rsidRPr="007F68FF" w:rsidRDefault="00CB7A1D" w:rsidP="007F68FF">
      <w:pPr>
        <w:spacing w:before="240" w:after="240"/>
        <w:ind w:left="851" w:right="900"/>
        <w:jc w:val="both"/>
        <w:rPr>
          <w:rFonts w:ascii="Palatino Linotype" w:hAnsi="Palatino Linotype"/>
          <w:i/>
          <w:sz w:val="22"/>
        </w:rPr>
      </w:pPr>
      <w:r w:rsidRPr="007F68FF">
        <w:rPr>
          <w:rFonts w:ascii="Palatino Linotype" w:hAnsi="Palatino Linotype"/>
          <w:i/>
          <w:sz w:val="22"/>
        </w:rPr>
        <w:t>La Comisión de Afiliación del Comité Ejecutivo Nacional será un órgano dependiente del Comité Ejecutivo Nacional.”</w:t>
      </w:r>
    </w:p>
    <w:p w14:paraId="6928E1C5" w14:textId="023A2AF4" w:rsidR="00CB7A1D" w:rsidRPr="007F68FF" w:rsidRDefault="00CB7A1D" w:rsidP="007F68FF">
      <w:pPr>
        <w:spacing w:before="240" w:after="240"/>
        <w:ind w:left="851" w:right="900"/>
        <w:jc w:val="both"/>
        <w:rPr>
          <w:rFonts w:ascii="Palatino Linotype" w:hAnsi="Palatino Linotype"/>
          <w:i/>
          <w:sz w:val="22"/>
        </w:rPr>
      </w:pPr>
      <w:r w:rsidRPr="007F68FF">
        <w:rPr>
          <w:rFonts w:ascii="Palatino Linotype" w:hAnsi="Palatino Linotype"/>
          <w:i/>
          <w:sz w:val="22"/>
        </w:rPr>
        <w:t>“</w:t>
      </w:r>
      <w:r w:rsidRPr="00434DDA">
        <w:rPr>
          <w:rFonts w:ascii="Palatino Linotype" w:hAnsi="Palatino Linotype"/>
          <w:b/>
          <w:i/>
          <w:sz w:val="22"/>
        </w:rPr>
        <w:t>Artículo 171. Las funciones de la Comisión de Afiliación del Comité Ejecutivo Nacional son</w:t>
      </w:r>
      <w:r w:rsidRPr="007F68FF">
        <w:rPr>
          <w:rFonts w:ascii="Palatino Linotype" w:hAnsi="Palatino Linotype"/>
          <w:i/>
          <w:sz w:val="22"/>
        </w:rPr>
        <w:t>:</w:t>
      </w:r>
    </w:p>
    <w:p w14:paraId="61595705" w14:textId="77777777" w:rsidR="007F68FF" w:rsidRPr="007F68FF" w:rsidRDefault="007F68FF" w:rsidP="007F68FF">
      <w:pPr>
        <w:spacing w:before="240" w:after="240"/>
        <w:ind w:left="851" w:right="900"/>
        <w:jc w:val="both"/>
        <w:rPr>
          <w:rFonts w:ascii="Palatino Linotype" w:hAnsi="Palatino Linotype"/>
          <w:i/>
          <w:sz w:val="22"/>
        </w:rPr>
      </w:pPr>
      <w:r w:rsidRPr="007F68FF">
        <w:rPr>
          <w:rFonts w:ascii="Palatino Linotype" w:hAnsi="Palatino Linotype"/>
          <w:i/>
          <w:sz w:val="22"/>
        </w:rPr>
        <w:t xml:space="preserve">a) Elaborar el padrón de afiliados, el Listado Nominal y la cartografía electoral; </w:t>
      </w:r>
    </w:p>
    <w:p w14:paraId="05C8B7AA" w14:textId="77777777" w:rsidR="007F68FF" w:rsidRPr="007F68FF" w:rsidRDefault="007F68FF" w:rsidP="007F68FF">
      <w:pPr>
        <w:spacing w:before="240" w:after="240"/>
        <w:ind w:left="851" w:right="900"/>
        <w:jc w:val="both"/>
        <w:rPr>
          <w:rFonts w:ascii="Palatino Linotype" w:hAnsi="Palatino Linotype"/>
          <w:i/>
          <w:sz w:val="22"/>
        </w:rPr>
      </w:pPr>
      <w:r w:rsidRPr="007F68FF">
        <w:rPr>
          <w:rFonts w:ascii="Palatino Linotype" w:hAnsi="Palatino Linotype"/>
          <w:i/>
          <w:sz w:val="22"/>
        </w:rPr>
        <w:t xml:space="preserve">d) Depurar y actualizar el padrón y la lista nominal permanentemente y publicarlos en Internet para su consulta; </w:t>
      </w:r>
    </w:p>
    <w:p w14:paraId="65B3B333" w14:textId="77777777" w:rsidR="007F68FF" w:rsidRPr="007F68FF" w:rsidRDefault="007F68FF" w:rsidP="007F68FF">
      <w:pPr>
        <w:spacing w:before="240" w:after="240"/>
        <w:ind w:left="851" w:right="900"/>
        <w:jc w:val="both"/>
        <w:rPr>
          <w:rFonts w:ascii="Palatino Linotype" w:hAnsi="Palatino Linotype"/>
          <w:i/>
          <w:sz w:val="22"/>
        </w:rPr>
      </w:pPr>
      <w:r w:rsidRPr="007F68FF">
        <w:rPr>
          <w:rFonts w:ascii="Palatino Linotype" w:hAnsi="Palatino Linotype"/>
          <w:i/>
          <w:sz w:val="22"/>
        </w:rPr>
        <w:t xml:space="preserve">f) Administrar, hacer público y distribuir a las entidades el Padrón de Afiliados; </w:t>
      </w:r>
    </w:p>
    <w:p w14:paraId="3D87A8EE" w14:textId="511F9351" w:rsidR="007F68FF" w:rsidRPr="007F68FF" w:rsidRDefault="007F68FF" w:rsidP="007F68FF">
      <w:pPr>
        <w:spacing w:before="240" w:after="240"/>
        <w:ind w:left="851" w:right="900"/>
        <w:jc w:val="both"/>
        <w:rPr>
          <w:rFonts w:ascii="Palatino Linotype" w:hAnsi="Palatino Linotype"/>
          <w:i/>
          <w:sz w:val="22"/>
        </w:rPr>
      </w:pPr>
      <w:r w:rsidRPr="007F68FF">
        <w:rPr>
          <w:rFonts w:ascii="Palatino Linotype" w:hAnsi="Palatino Linotype"/>
          <w:i/>
          <w:sz w:val="22"/>
        </w:rPr>
        <w:t>g) Dar respuesta a cualquier observación que se le haga respecto al Padrón Electoral así como a las solicitudes de afiliación que se realicen a través de internet, en un término no mayor de treinta días hábiles;…”</w:t>
      </w:r>
    </w:p>
    <w:p w14:paraId="436369E2" w14:textId="17DFC533" w:rsidR="007F68FF" w:rsidRPr="00D70F8F" w:rsidRDefault="00434DDA" w:rsidP="005D69A9">
      <w:pPr>
        <w:spacing w:before="240" w:after="240" w:line="360" w:lineRule="auto"/>
        <w:jc w:val="both"/>
        <w:rPr>
          <w:rFonts w:ascii="Palatino Linotype" w:hAnsi="Palatino Linotype"/>
        </w:rPr>
      </w:pPr>
      <w:r w:rsidRPr="00D70F8F">
        <w:rPr>
          <w:rFonts w:ascii="Palatino Linotype" w:hAnsi="Palatino Linotype"/>
        </w:rPr>
        <w:t>De los dispositivos normativos citados, se desprende que dentro de las Comisiones Nacionales del Partido de la Revolución Democrática, se contempla a la Comisión de Afiliación del Comité Ejecutivo Nacional, misma a</w:t>
      </w:r>
      <w:r w:rsidR="00D70F8F">
        <w:rPr>
          <w:rFonts w:ascii="Palatino Linotype" w:hAnsi="Palatino Linotype"/>
        </w:rPr>
        <w:t xml:space="preserve"> la</w:t>
      </w:r>
      <w:r w:rsidRPr="00D70F8F">
        <w:rPr>
          <w:rFonts w:ascii="Palatino Linotype" w:hAnsi="Palatino Linotype"/>
        </w:rPr>
        <w:t xml:space="preserve"> que se le otorgan las funciones en relación a la elaboración del padrón de afiliados, su depuración y actualización, así como administrarlo, hacerlo público y distribuirlo en las entidades; sin que se advierta que exista al</w:t>
      </w:r>
      <w:r w:rsidR="00D70F8F">
        <w:rPr>
          <w:rFonts w:ascii="Palatino Linotype" w:hAnsi="Palatino Linotype"/>
        </w:rPr>
        <w:t>guna otra comisión, dependencia</w:t>
      </w:r>
      <w:r w:rsidRPr="00D70F8F">
        <w:rPr>
          <w:rFonts w:ascii="Palatino Linotype" w:hAnsi="Palatino Linotype"/>
        </w:rPr>
        <w:t xml:space="preserve"> o área estatal del Partido que tenga funciones relacionadas con el padrón de militantes.</w:t>
      </w:r>
    </w:p>
    <w:p w14:paraId="584FCDC0" w14:textId="7E9CF391" w:rsidR="00434DDA" w:rsidRPr="00D70F8F" w:rsidRDefault="00434DDA" w:rsidP="005D69A9">
      <w:pPr>
        <w:spacing w:before="240" w:after="240" w:line="360" w:lineRule="auto"/>
        <w:jc w:val="both"/>
        <w:rPr>
          <w:rFonts w:ascii="Palatino Linotype" w:hAnsi="Palatino Linotype"/>
        </w:rPr>
      </w:pPr>
      <w:r w:rsidRPr="00D70F8F">
        <w:rPr>
          <w:rFonts w:ascii="Palatino Linotype" w:hAnsi="Palatino Linotype"/>
        </w:rPr>
        <w:t>Asimismo</w:t>
      </w:r>
      <w:r w:rsidR="00D70F8F">
        <w:rPr>
          <w:rFonts w:ascii="Palatino Linotype" w:hAnsi="Palatino Linotype"/>
        </w:rPr>
        <w:t>,</w:t>
      </w:r>
      <w:r w:rsidRPr="00D70F8F">
        <w:rPr>
          <w:rFonts w:ascii="Palatino Linotype" w:hAnsi="Palatino Linotype"/>
        </w:rPr>
        <w:t xml:space="preserve"> de la consulta a las tablas de aplicabilidad 2018 de las obligaciones de transparencia comunes y específicas de los sujetos obligados en materia de transparencia y acceso a la información, aprobadas mediante Acuerdo del Pleno de este Instituto</w:t>
      </w:r>
      <w:r w:rsidRPr="00D70F8F">
        <w:rPr>
          <w:rStyle w:val="Refdenotaalpie"/>
          <w:rFonts w:ascii="Palatino Linotype" w:hAnsi="Palatino Linotype"/>
        </w:rPr>
        <w:footnoteReference w:id="1"/>
      </w:r>
      <w:r w:rsidRPr="00D70F8F">
        <w:rPr>
          <w:rFonts w:ascii="Palatino Linotype" w:hAnsi="Palatino Linotype"/>
        </w:rPr>
        <w:t>, se desprende que en la correspondiente al Partido de la Revolución Democr</w:t>
      </w:r>
      <w:r w:rsidR="00D30908" w:rsidRPr="00D70F8F">
        <w:rPr>
          <w:rFonts w:ascii="Palatino Linotype" w:hAnsi="Palatino Linotype"/>
        </w:rPr>
        <w:t>ática, se establece que la información de la fracción I del artículo 100 de la Ley de la materia, que como se ha visto corresponde al padrón de afiliados o militantes de los partidos políticos, no es aplicable para el Sujeto Obligado que nos ocupa:</w:t>
      </w:r>
    </w:p>
    <w:p w14:paraId="4796F11B" w14:textId="43FD7EAC" w:rsidR="00D30908" w:rsidRDefault="00D30908" w:rsidP="00D30908">
      <w:pPr>
        <w:spacing w:before="240" w:line="360" w:lineRule="auto"/>
        <w:jc w:val="center"/>
        <w:rPr>
          <w:rFonts w:ascii="Palatino Linotype" w:hAnsi="Palatino Linotype"/>
          <w:color w:val="C00000"/>
        </w:rPr>
      </w:pPr>
      <w:r>
        <w:rPr>
          <w:noProof/>
          <w:lang w:val="es-MX" w:eastAsia="es-MX"/>
        </w:rPr>
        <w:drawing>
          <wp:inline distT="0" distB="0" distL="0" distR="0" wp14:anchorId="6EF15443" wp14:editId="04B6606D">
            <wp:extent cx="5093102" cy="1057523"/>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84" t="16881" r="62880" b="69520"/>
                    <a:stretch/>
                  </pic:blipFill>
                  <pic:spPr bwMode="auto">
                    <a:xfrm>
                      <a:off x="0" y="0"/>
                      <a:ext cx="5218152" cy="1083488"/>
                    </a:xfrm>
                    <a:prstGeom prst="rect">
                      <a:avLst/>
                    </a:prstGeom>
                    <a:ln>
                      <a:noFill/>
                    </a:ln>
                    <a:extLst>
                      <a:ext uri="{53640926-AAD7-44D8-BBD7-CCE9431645EC}">
                        <a14:shadowObscured xmlns:a14="http://schemas.microsoft.com/office/drawing/2010/main"/>
                      </a:ext>
                    </a:extLst>
                  </pic:spPr>
                </pic:pic>
              </a:graphicData>
            </a:graphic>
          </wp:inline>
        </w:drawing>
      </w:r>
    </w:p>
    <w:p w14:paraId="639DEEEA" w14:textId="3AB6391D" w:rsidR="00D30908" w:rsidRDefault="00D30908" w:rsidP="00D30908">
      <w:pPr>
        <w:jc w:val="center"/>
        <w:rPr>
          <w:rFonts w:ascii="Palatino Linotype" w:hAnsi="Palatino Linotype"/>
          <w:color w:val="C00000"/>
        </w:rPr>
      </w:pPr>
      <w:r>
        <w:rPr>
          <w:rFonts w:ascii="Palatino Linotype" w:hAnsi="Palatino Linotype"/>
          <w:color w:val="C00000"/>
        </w:rPr>
        <w:t>(…)</w:t>
      </w:r>
    </w:p>
    <w:p w14:paraId="0C3B84ED" w14:textId="75FBDADD" w:rsidR="00D30908" w:rsidRPr="0038406B" w:rsidRDefault="00D30908" w:rsidP="00D30908">
      <w:pPr>
        <w:spacing w:after="240" w:line="360" w:lineRule="auto"/>
        <w:jc w:val="center"/>
        <w:rPr>
          <w:rFonts w:ascii="Palatino Linotype" w:hAnsi="Palatino Linotype"/>
          <w:color w:val="C00000"/>
        </w:rPr>
      </w:pPr>
      <w:r>
        <w:rPr>
          <w:noProof/>
          <w:lang w:val="es-MX" w:eastAsia="es-MX"/>
        </w:rPr>
        <w:drawing>
          <wp:inline distT="0" distB="0" distL="0" distR="0" wp14:anchorId="5A08421A" wp14:editId="2BC46251">
            <wp:extent cx="5099437" cy="588396"/>
            <wp:effectExtent l="0" t="0" r="6350" b="254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t="43074" r="63153" b="49367"/>
                    <a:stretch/>
                  </pic:blipFill>
                  <pic:spPr bwMode="auto">
                    <a:xfrm>
                      <a:off x="0" y="0"/>
                      <a:ext cx="5524079" cy="637393"/>
                    </a:xfrm>
                    <a:prstGeom prst="rect">
                      <a:avLst/>
                    </a:prstGeom>
                    <a:ln>
                      <a:noFill/>
                    </a:ln>
                    <a:extLst>
                      <a:ext uri="{53640926-AAD7-44D8-BBD7-CCE9431645EC}">
                        <a14:shadowObscured xmlns:a14="http://schemas.microsoft.com/office/drawing/2010/main"/>
                      </a:ext>
                    </a:extLst>
                  </pic:spPr>
                </pic:pic>
              </a:graphicData>
            </a:graphic>
          </wp:inline>
        </w:drawing>
      </w:r>
    </w:p>
    <w:p w14:paraId="56494FCA" w14:textId="6638EACC" w:rsidR="000D03CC" w:rsidRDefault="000D03CC" w:rsidP="0074576C">
      <w:pPr>
        <w:spacing w:before="240" w:after="240" w:line="360" w:lineRule="auto"/>
        <w:jc w:val="both"/>
        <w:rPr>
          <w:rFonts w:ascii="Palatino Linotype" w:hAnsi="Palatino Linotype" w:cs="Arial"/>
        </w:rPr>
      </w:pPr>
      <w:r>
        <w:rPr>
          <w:rFonts w:ascii="Palatino Linotype" w:hAnsi="Palatino Linotype" w:cs="Arial"/>
        </w:rPr>
        <w:t>Luego entonces</w:t>
      </w:r>
      <w:r w:rsidR="00D70F8F">
        <w:rPr>
          <w:rFonts w:ascii="Palatino Linotype" w:hAnsi="Palatino Linotype" w:cs="Arial"/>
        </w:rPr>
        <w:t>,</w:t>
      </w:r>
      <w:r>
        <w:rPr>
          <w:rFonts w:ascii="Palatino Linotype" w:hAnsi="Palatino Linotype" w:cs="Arial"/>
        </w:rPr>
        <w:t xml:space="preserve"> es evidente que el Sujeto Obligado, no tiene en sus archivos el padrón de afiliados al que desea acceder el ahora recurrente, sino que el mismo como lo expresó en su respuesta le corresponde a la Comisión de Afiliación del Comité Ejecutivo Nacional del Partido.</w:t>
      </w:r>
    </w:p>
    <w:p w14:paraId="7029E9A6" w14:textId="2FF8EAB1" w:rsidR="00093178" w:rsidRDefault="000D03CC" w:rsidP="000D03CC">
      <w:pPr>
        <w:spacing w:before="240" w:after="240" w:line="360" w:lineRule="auto"/>
        <w:jc w:val="both"/>
        <w:rPr>
          <w:rFonts w:ascii="Palatino Linotype" w:eastAsia="Calibri" w:hAnsi="Palatino Linotype"/>
          <w:lang w:val="es-MX" w:eastAsia="en-US"/>
        </w:rPr>
      </w:pPr>
      <w:r>
        <w:rPr>
          <w:rFonts w:ascii="Palatino Linotype" w:eastAsia="Calibri" w:hAnsi="Palatino Linotype" w:cs="Arial"/>
          <w:lang w:val="es-MX" w:eastAsia="en-US"/>
        </w:rPr>
        <w:t xml:space="preserve">No obstante lo expuesto, el </w:t>
      </w:r>
      <w:r w:rsidRPr="000D03CC">
        <w:rPr>
          <w:rFonts w:ascii="Palatino Linotype" w:eastAsia="Calibri" w:hAnsi="Palatino Linotype" w:cs="Arial"/>
          <w:lang w:val="es-MX" w:eastAsia="en-US"/>
        </w:rPr>
        <w:t>Sujeto Obligado</w:t>
      </w:r>
      <w:r>
        <w:rPr>
          <w:rFonts w:ascii="Palatino Linotype" w:eastAsia="Calibri" w:hAnsi="Palatino Linotype" w:cs="Arial"/>
          <w:lang w:val="es-MX" w:eastAsia="en-US"/>
        </w:rPr>
        <w:t xml:space="preserve"> omitió proceder conforme a lo dispuesto en el artículo 167 </w:t>
      </w:r>
      <w:r>
        <w:rPr>
          <w:rFonts w:ascii="Palatino Linotype" w:hAnsi="Palatino Linotype" w:cs="Arial"/>
        </w:rPr>
        <w:t>de la Ley de Transparencia y Acceso a la Información Pública del Estado de México y Municipios</w:t>
      </w:r>
      <w:r>
        <w:rPr>
          <w:rFonts w:ascii="Palatino Linotype" w:eastAsia="Calibri" w:hAnsi="Palatino Linotype" w:cs="Arial"/>
          <w:lang w:val="es-MX" w:eastAsia="en-US"/>
        </w:rPr>
        <w:t>, ya que dicho precepto normativo</w:t>
      </w:r>
      <w:r w:rsidR="00093178">
        <w:rPr>
          <w:rFonts w:ascii="Palatino Linotype" w:eastAsia="Calibri" w:hAnsi="Palatino Linotype" w:cs="Arial"/>
          <w:lang w:val="es-MX" w:eastAsia="en-US"/>
        </w:rPr>
        <w:t xml:space="preserve"> señala que</w:t>
      </w:r>
      <w:r>
        <w:rPr>
          <w:rFonts w:ascii="Palatino Linotype" w:eastAsia="Calibri" w:hAnsi="Palatino Linotype" w:cs="Arial"/>
          <w:lang w:val="es-MX" w:eastAsia="en-US"/>
        </w:rPr>
        <w:t xml:space="preserve"> </w:t>
      </w:r>
      <w:r w:rsidRPr="008953CC">
        <w:rPr>
          <w:rFonts w:ascii="Palatino Linotype" w:eastAsia="Calibri" w:hAnsi="Palatino Linotype"/>
          <w:lang w:val="es-MX" w:eastAsia="en-US"/>
        </w:rPr>
        <w:t>cuando las Unidades de Transparencia determinen la notoria incompetencia para atender las solicitudes de acceso a la información, deberán comunicarlo al solicitante dentro de los tres días hábiles posteriores a la recepción de la solicitud, y en su caso, orientar al particular al o los</w:t>
      </w:r>
      <w:r w:rsidR="00093178">
        <w:rPr>
          <w:rFonts w:ascii="Palatino Linotype" w:eastAsia="Calibri" w:hAnsi="Palatino Linotype"/>
          <w:lang w:val="es-MX" w:eastAsia="en-US"/>
        </w:rPr>
        <w:t xml:space="preserve"> sujetos obligados competentes.</w:t>
      </w:r>
    </w:p>
    <w:p w14:paraId="76F02B92" w14:textId="77777777" w:rsidR="00093178" w:rsidRDefault="00093178" w:rsidP="000D03CC">
      <w:pPr>
        <w:spacing w:before="240" w:after="240" w:line="360" w:lineRule="auto"/>
        <w:jc w:val="both"/>
        <w:rPr>
          <w:rFonts w:ascii="Palatino Linotype" w:eastAsia="Calibri" w:hAnsi="Palatino Linotype"/>
          <w:lang w:val="es-MX" w:eastAsia="en-US"/>
        </w:rPr>
      </w:pPr>
      <w:r>
        <w:rPr>
          <w:rFonts w:ascii="Palatino Linotype" w:eastAsia="Calibri" w:hAnsi="Palatino Linotype"/>
          <w:lang w:val="es-MX" w:eastAsia="en-US"/>
        </w:rPr>
        <w:t>Así las cosas en el presente caso la respuesta en relación a la incompetencia por lo que hace a dar a conocer el padrón de militantes o afiliados, no fue efectuada dentro de los tres días siguientes al de la fecha de la solicitud de información; por lo que</w:t>
      </w:r>
      <w:r w:rsidR="000D03CC" w:rsidRPr="008953CC">
        <w:rPr>
          <w:rFonts w:ascii="Palatino Linotype" w:eastAsia="Calibri" w:hAnsi="Palatino Linotype"/>
          <w:lang w:val="es-MX" w:eastAsia="en-US"/>
        </w:rPr>
        <w:t>, si dicha determinación se realiz</w:t>
      </w:r>
      <w:r>
        <w:rPr>
          <w:rFonts w:ascii="Palatino Linotype" w:eastAsia="Calibri" w:hAnsi="Palatino Linotype"/>
          <w:lang w:val="es-MX" w:eastAsia="en-US"/>
        </w:rPr>
        <w:t>a posterior al plazo concedido</w:t>
      </w:r>
      <w:r w:rsidR="000D03CC" w:rsidRPr="00E72E83">
        <w:rPr>
          <w:rFonts w:ascii="Palatino Linotype" w:eastAsia="Calibri" w:hAnsi="Palatino Linotype"/>
          <w:lang w:val="es-MX" w:eastAsia="en-US"/>
        </w:rPr>
        <w:t xml:space="preserve">, </w:t>
      </w:r>
      <w:r w:rsidR="000D03CC" w:rsidRPr="008953CC">
        <w:rPr>
          <w:rFonts w:ascii="Palatino Linotype" w:eastAsia="Calibri" w:hAnsi="Palatino Linotype"/>
          <w:lang w:val="es-MX" w:eastAsia="en-US"/>
        </w:rPr>
        <w:t xml:space="preserve">corresponde al Comité de Transparencia del </w:t>
      </w:r>
      <w:r w:rsidRPr="00093178">
        <w:rPr>
          <w:rFonts w:ascii="Palatino Linotype" w:eastAsia="Calibri" w:hAnsi="Palatino Linotype"/>
          <w:lang w:val="es-MX" w:eastAsia="en-US"/>
        </w:rPr>
        <w:t>Sujeto Obligado</w:t>
      </w:r>
      <w:r w:rsidRPr="00E72E83">
        <w:rPr>
          <w:rFonts w:ascii="Palatino Linotype" w:eastAsia="Calibri" w:hAnsi="Palatino Linotype"/>
          <w:lang w:val="es-MX" w:eastAsia="en-US"/>
        </w:rPr>
        <w:t xml:space="preserve"> </w:t>
      </w:r>
      <w:r w:rsidR="000D03CC" w:rsidRPr="008953CC">
        <w:rPr>
          <w:rFonts w:ascii="Palatino Linotype" w:eastAsia="Calibri" w:hAnsi="Palatino Linotype"/>
          <w:lang w:val="es-MX" w:eastAsia="en-US"/>
        </w:rPr>
        <w:t xml:space="preserve">emitir la declaratoria de incompetencia en términos de lo dispuesto en el artículo 49, fracción II de la Ley de Transparencia </w:t>
      </w:r>
      <w:r>
        <w:rPr>
          <w:rFonts w:ascii="Palatino Linotype" w:eastAsia="Calibri" w:hAnsi="Palatino Linotype"/>
          <w:lang w:val="es-MX" w:eastAsia="en-US"/>
        </w:rPr>
        <w:t>de la literalidad siguiente:</w:t>
      </w:r>
    </w:p>
    <w:p w14:paraId="1B0B0BCA" w14:textId="12CF756E" w:rsidR="000D03CC" w:rsidRPr="00093178" w:rsidRDefault="00093178" w:rsidP="00093178">
      <w:pPr>
        <w:spacing w:before="240" w:after="240"/>
        <w:ind w:left="851" w:right="900"/>
        <w:jc w:val="both"/>
        <w:rPr>
          <w:rFonts w:ascii="Palatino Linotype" w:eastAsia="Calibri" w:hAnsi="Palatino Linotype"/>
          <w:i/>
          <w:sz w:val="22"/>
          <w:lang w:val="es-MX" w:eastAsia="en-US"/>
        </w:rPr>
      </w:pPr>
      <w:r w:rsidRPr="00093178">
        <w:rPr>
          <w:rFonts w:ascii="Palatino Linotype" w:eastAsia="Calibri" w:hAnsi="Palatino Linotype"/>
          <w:i/>
          <w:sz w:val="22"/>
          <w:lang w:val="es-MX" w:eastAsia="en-US"/>
        </w:rPr>
        <w:t>“</w:t>
      </w:r>
      <w:r w:rsidRPr="00093178">
        <w:rPr>
          <w:rFonts w:ascii="Palatino Linotype" w:eastAsia="Calibri" w:hAnsi="Palatino Linotype"/>
          <w:b/>
          <w:i/>
          <w:sz w:val="22"/>
          <w:lang w:val="es-MX" w:eastAsia="en-US"/>
        </w:rPr>
        <w:t>Artículo 49. Los Comités de Transparencia tendrán las siguientes atribuciones</w:t>
      </w:r>
      <w:r w:rsidRPr="00093178">
        <w:rPr>
          <w:rFonts w:ascii="Palatino Linotype" w:eastAsia="Calibri" w:hAnsi="Palatino Linotype"/>
          <w:i/>
          <w:sz w:val="22"/>
          <w:lang w:val="es-MX" w:eastAsia="en-US"/>
        </w:rPr>
        <w:t>:</w:t>
      </w:r>
    </w:p>
    <w:p w14:paraId="5C390707" w14:textId="56DA01AE" w:rsidR="00093178" w:rsidRPr="00093178" w:rsidRDefault="00093178" w:rsidP="00093178">
      <w:pPr>
        <w:spacing w:before="240" w:after="240"/>
        <w:ind w:left="851" w:right="900"/>
        <w:jc w:val="both"/>
        <w:rPr>
          <w:rFonts w:ascii="Palatino Linotype" w:eastAsia="Calibri" w:hAnsi="Palatino Linotype"/>
          <w:i/>
          <w:sz w:val="22"/>
          <w:lang w:val="es-MX" w:eastAsia="en-US"/>
        </w:rPr>
      </w:pPr>
      <w:r w:rsidRPr="00093178">
        <w:rPr>
          <w:rFonts w:ascii="Palatino Linotype" w:eastAsia="Calibri" w:hAnsi="Palatino Linotype"/>
          <w:i/>
          <w:sz w:val="22"/>
          <w:lang w:val="es-MX" w:eastAsia="en-US"/>
        </w:rPr>
        <w:t>(…)</w:t>
      </w:r>
    </w:p>
    <w:p w14:paraId="657BBBA1" w14:textId="5175CF97" w:rsidR="00093178" w:rsidRPr="00093178" w:rsidRDefault="00093178" w:rsidP="00093178">
      <w:pPr>
        <w:spacing w:before="240" w:after="240"/>
        <w:ind w:left="851" w:right="900"/>
        <w:jc w:val="both"/>
        <w:rPr>
          <w:rFonts w:ascii="Palatino Linotype" w:eastAsia="Calibri" w:hAnsi="Palatino Linotype"/>
          <w:i/>
          <w:sz w:val="22"/>
          <w:lang w:val="es-MX" w:eastAsia="en-US"/>
        </w:rPr>
      </w:pPr>
      <w:r w:rsidRPr="00093178">
        <w:rPr>
          <w:rFonts w:ascii="Palatino Linotype" w:eastAsia="Calibri" w:hAnsi="Palatino Linotype"/>
          <w:b/>
          <w:i/>
          <w:sz w:val="22"/>
          <w:lang w:val="es-MX" w:eastAsia="en-US"/>
        </w:rPr>
        <w:t>II. Confirmar, modificar o revocar las determinaciones que en materia de</w:t>
      </w:r>
      <w:r w:rsidRPr="00093178">
        <w:rPr>
          <w:rFonts w:ascii="Palatino Linotype" w:eastAsia="Calibri" w:hAnsi="Palatino Linotype"/>
          <w:i/>
          <w:sz w:val="22"/>
          <w:lang w:val="es-MX" w:eastAsia="en-US"/>
        </w:rPr>
        <w:t xml:space="preserve"> ampliación del plazo de respuesta, clasificación de la información y </w:t>
      </w:r>
      <w:r w:rsidRPr="00093178">
        <w:rPr>
          <w:rFonts w:ascii="Palatino Linotype" w:eastAsia="Calibri" w:hAnsi="Palatino Linotype"/>
          <w:b/>
          <w:i/>
          <w:sz w:val="22"/>
          <w:lang w:val="es-MX" w:eastAsia="en-US"/>
        </w:rPr>
        <w:t xml:space="preserve">declaración </w:t>
      </w:r>
      <w:r w:rsidRPr="00093178">
        <w:rPr>
          <w:rFonts w:ascii="Palatino Linotype" w:eastAsia="Calibri" w:hAnsi="Palatino Linotype"/>
          <w:i/>
          <w:sz w:val="22"/>
          <w:lang w:val="es-MX" w:eastAsia="en-US"/>
        </w:rPr>
        <w:t xml:space="preserve">de inexistencia o </w:t>
      </w:r>
      <w:r w:rsidRPr="00093178">
        <w:rPr>
          <w:rFonts w:ascii="Palatino Linotype" w:eastAsia="Calibri" w:hAnsi="Palatino Linotype"/>
          <w:b/>
          <w:i/>
          <w:sz w:val="22"/>
          <w:lang w:val="es-MX" w:eastAsia="en-US"/>
        </w:rPr>
        <w:t>de incompetencia</w:t>
      </w:r>
      <w:r w:rsidRPr="00093178">
        <w:rPr>
          <w:rFonts w:ascii="Palatino Linotype" w:eastAsia="Calibri" w:hAnsi="Palatino Linotype"/>
          <w:i/>
          <w:sz w:val="22"/>
          <w:lang w:val="es-MX" w:eastAsia="en-US"/>
        </w:rPr>
        <w:t xml:space="preserve"> realicen los titulares de las áreas de los sujetos obligados;…”</w:t>
      </w:r>
    </w:p>
    <w:p w14:paraId="11D002F3" w14:textId="3B976E04" w:rsidR="000D03CC" w:rsidRPr="00AF5B3D" w:rsidRDefault="00093178" w:rsidP="000D03CC">
      <w:pPr>
        <w:spacing w:before="240" w:after="240" w:line="360" w:lineRule="auto"/>
        <w:ind w:right="49"/>
        <w:jc w:val="both"/>
        <w:rPr>
          <w:rFonts w:ascii="Palatino Linotype" w:hAnsi="Palatino Linotype" w:cs="Arial"/>
          <w:lang w:eastAsia="es-MX"/>
        </w:rPr>
      </w:pPr>
      <w:r>
        <w:rPr>
          <w:rFonts w:ascii="Palatino Linotype" w:hAnsi="Palatino Linotype" w:cs="Arial"/>
          <w:lang w:eastAsia="es-MX"/>
        </w:rPr>
        <w:t>R</w:t>
      </w:r>
      <w:r w:rsidR="000D03CC" w:rsidRPr="00AF5B3D">
        <w:rPr>
          <w:rFonts w:ascii="Palatino Linotype" w:hAnsi="Palatino Linotype" w:cs="Arial"/>
          <w:lang w:eastAsia="es-MX"/>
        </w:rPr>
        <w:t>azón por la cual con la finalidad de garantizar el pleno ejercicio del derecho de acceso a la información pública,</w:t>
      </w:r>
      <w:r w:rsidR="00856B2F">
        <w:rPr>
          <w:rFonts w:ascii="Palatino Linotype" w:hAnsi="Palatino Linotype" w:cs="Arial"/>
          <w:lang w:eastAsia="es-MX"/>
        </w:rPr>
        <w:t xml:space="preserve"> resulta procedente modificar la respuesta del Sujeto Obligado, para </w:t>
      </w:r>
      <w:r w:rsidR="000D03CC" w:rsidRPr="00AF5B3D">
        <w:rPr>
          <w:rFonts w:ascii="Palatino Linotype" w:hAnsi="Palatino Linotype" w:cs="Arial"/>
          <w:lang w:eastAsia="es-MX"/>
        </w:rPr>
        <w:t>ordenar</w:t>
      </w:r>
      <w:r>
        <w:rPr>
          <w:rFonts w:ascii="Palatino Linotype" w:hAnsi="Palatino Linotype" w:cs="Arial"/>
          <w:lang w:eastAsia="es-MX"/>
        </w:rPr>
        <w:t>le</w:t>
      </w:r>
      <w:r w:rsidR="000D03CC" w:rsidRPr="00AF5B3D">
        <w:rPr>
          <w:rFonts w:ascii="Palatino Linotype" w:hAnsi="Palatino Linotype" w:cs="Arial"/>
          <w:lang w:eastAsia="es-MX"/>
        </w:rPr>
        <w:t xml:space="preserve"> </w:t>
      </w:r>
      <w:r>
        <w:rPr>
          <w:rFonts w:ascii="Palatino Linotype" w:hAnsi="Palatino Linotype" w:cs="Arial"/>
          <w:lang w:eastAsia="es-MX"/>
        </w:rPr>
        <w:t>al Sujeto Obligado</w:t>
      </w:r>
      <w:r w:rsidR="000D03CC" w:rsidRPr="00AF5B3D">
        <w:rPr>
          <w:rFonts w:ascii="Palatino Linotype" w:hAnsi="Palatino Linotype" w:cs="Arial"/>
          <w:lang w:eastAsia="es-MX"/>
        </w:rPr>
        <w:t xml:space="preserve"> emita un acuerdo de incompetencia debidamente fundado y motivado</w:t>
      </w:r>
      <w:r>
        <w:rPr>
          <w:rFonts w:ascii="Palatino Linotype" w:hAnsi="Palatino Linotype" w:cs="Arial"/>
          <w:lang w:eastAsia="es-MX"/>
        </w:rPr>
        <w:t xml:space="preserve"> a través de su Comité de Transparencia</w:t>
      </w:r>
      <w:r w:rsidR="000D03CC" w:rsidRPr="00AF5B3D">
        <w:rPr>
          <w:rFonts w:ascii="Palatino Linotype" w:hAnsi="Palatino Linotype" w:cs="Arial"/>
          <w:lang w:eastAsia="es-MX"/>
        </w:rPr>
        <w:t xml:space="preserve">, en el que exprese las razones, motivos y circunstancias de hecho y derecho por virtud de las cuales justifique su incompetencia. </w:t>
      </w:r>
    </w:p>
    <w:p w14:paraId="32BF6BFE" w14:textId="77777777" w:rsidR="00856B2F" w:rsidRPr="005668F4" w:rsidRDefault="00856B2F" w:rsidP="00856B2F">
      <w:pPr>
        <w:spacing w:after="240" w:line="360" w:lineRule="auto"/>
        <w:jc w:val="both"/>
        <w:rPr>
          <w:rFonts w:ascii="Palatino Linotype" w:hAnsi="Palatino Linotype" w:cs="Arial"/>
        </w:rPr>
      </w:pPr>
      <w:r>
        <w:rPr>
          <w:rFonts w:ascii="Palatino Linotype" w:hAnsi="Palatino Linotype"/>
        </w:rPr>
        <w:t>A mayor abundamiento, respecto de</w:t>
      </w:r>
      <w:r w:rsidRPr="005668F4">
        <w:rPr>
          <w:rFonts w:ascii="Palatino Linotype" w:hAnsi="Palatino Linotype"/>
        </w:rPr>
        <w:t xml:space="preserve"> la fundamentación y motivación, debe recordarse que la primera de ellas consiste en </w:t>
      </w:r>
      <w:r w:rsidRPr="005668F4">
        <w:rPr>
          <w:rFonts w:ascii="Palatino Linotype" w:hAnsi="Palatino Linotype" w:cs="Arial"/>
        </w:rPr>
        <w:t>la expresión de los dispositivos jurídicos en los que se sustenten los supuestos propios del asunto, y por motivación el señalamiento de las causas inmediatas, las razones específicas y los motivos particulares que se tomaron en consideración para llegar a la determinación obtenida, debiendo existir además una correspondencia lógica entre ambos supuestos.</w:t>
      </w:r>
    </w:p>
    <w:p w14:paraId="749EBC5F" w14:textId="77777777" w:rsidR="00856B2F" w:rsidRPr="005668F4" w:rsidRDefault="00856B2F" w:rsidP="00856B2F">
      <w:pPr>
        <w:spacing w:before="240" w:after="240" w:line="360" w:lineRule="auto"/>
        <w:jc w:val="both"/>
        <w:rPr>
          <w:rFonts w:ascii="Palatino Linotype" w:hAnsi="Palatino Linotype" w:cs="Arial"/>
          <w:bCs/>
        </w:rPr>
      </w:pPr>
      <w:r w:rsidRPr="005668F4">
        <w:rPr>
          <w:rFonts w:ascii="Palatino Linotype" w:hAnsi="Palatino Linotype" w:cs="Arial"/>
          <w:bCs/>
        </w:rPr>
        <w:t>Sirven de sustento a lo anterior las tesis jurisprudenciales número I.4º.A. J/43 y VI. 2º. J/43, publicadas en el Semanario Judicial de la Federación y su Gaceta, bajo el número de registro 175,082 y 203,143, respectivamente, cuyo texto y sentido literal es el siguiente:</w:t>
      </w:r>
    </w:p>
    <w:p w14:paraId="08AD8532" w14:textId="77777777" w:rsidR="00856B2F" w:rsidRPr="005668F4" w:rsidRDefault="00856B2F" w:rsidP="00856B2F">
      <w:pPr>
        <w:spacing w:before="240" w:after="240"/>
        <w:ind w:left="851" w:right="900"/>
        <w:jc w:val="both"/>
        <w:rPr>
          <w:rFonts w:ascii="Palatino Linotype" w:hAnsi="Palatino Linotype" w:cs="Arial"/>
          <w:bCs/>
          <w:i/>
          <w:iCs/>
          <w:sz w:val="22"/>
          <w:szCs w:val="22"/>
        </w:rPr>
      </w:pPr>
      <w:r w:rsidRPr="005668F4">
        <w:rPr>
          <w:rFonts w:ascii="Palatino Linotype" w:hAnsi="Palatino Linotype" w:cs="Arial"/>
          <w:bCs/>
          <w:i/>
          <w:iCs/>
          <w:sz w:val="22"/>
          <w:szCs w:val="22"/>
        </w:rPr>
        <w:t>“</w:t>
      </w:r>
      <w:r w:rsidRPr="005668F4">
        <w:rPr>
          <w:rFonts w:ascii="Palatino Linotype" w:hAnsi="Palatino Linotype" w:cs="Arial"/>
          <w:b/>
          <w:bCs/>
          <w:i/>
          <w:iCs/>
          <w:sz w:val="22"/>
          <w:szCs w:val="22"/>
        </w:rPr>
        <w:t>FUNDAMENTACIÓN Y MOTIVACIÓN. EL ASPECTO FORMAL DE LA GARANTÍA Y SU FINALIDAD SE TRADUCEN EN EXPLICAR, JUSTIFICAR, POSIBILITAR LA DEFENSA Y COMUNICAR LA DECISIÓN. </w:t>
      </w:r>
      <w:r w:rsidRPr="005668F4">
        <w:rPr>
          <w:rFonts w:ascii="Palatino Linotype" w:hAnsi="Palatino Linotype" w:cs="Arial"/>
          <w:bCs/>
          <w:i/>
          <w:iCs/>
          <w:sz w:val="22"/>
          <w:szCs w:val="22"/>
        </w:rPr>
        <w:t>El contenido formal de la garantía de legalidad prevista en el artículo 16 constitucional relativa a la fundamentación y motivación tiene como propósito primordial y ratio que el justiciable </w:t>
      </w:r>
      <w:r w:rsidRPr="005668F4">
        <w:rPr>
          <w:rFonts w:ascii="Palatino Linotype" w:hAnsi="Palatino Linotype" w:cs="Arial"/>
          <w:bCs/>
          <w:i/>
          <w:iCs/>
          <w:sz w:val="22"/>
          <w:szCs w:val="22"/>
          <w:u w:val="single"/>
        </w:rPr>
        <w:t>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w:t>
      </w:r>
      <w:r w:rsidRPr="005668F4">
        <w:rPr>
          <w:rFonts w:ascii="Palatino Linotype" w:hAnsi="Palatino Linotype" w:cs="Arial"/>
          <w:bCs/>
          <w:i/>
          <w:iCs/>
          <w:sz w:val="22"/>
          <w:szCs w:val="22"/>
        </w:rPr>
        <w:t>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w:t>
      </w:r>
      <w:r w:rsidRPr="005668F4">
        <w:rPr>
          <w:rFonts w:ascii="Palatino Linotype" w:hAnsi="Palatino Linotype" w:cs="Arial"/>
          <w:bCs/>
          <w:i/>
          <w:iCs/>
          <w:sz w:val="22"/>
          <w:szCs w:val="22"/>
          <w:u w:val="single"/>
        </w:rPr>
        <w:t>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w:t>
      </w:r>
      <w:r w:rsidRPr="005668F4">
        <w:rPr>
          <w:rFonts w:ascii="Palatino Linotype" w:hAnsi="Palatino Linotype" w:cs="Arial"/>
          <w:bCs/>
          <w:i/>
          <w:iCs/>
          <w:sz w:val="22"/>
          <w:szCs w:val="22"/>
        </w:rPr>
        <w:t> del que se deduzca la relación de pertenencia lógica de los hechos al derecho invocado, que es la subsunción.”</w:t>
      </w:r>
    </w:p>
    <w:p w14:paraId="189F8EB3" w14:textId="77777777" w:rsidR="00856B2F" w:rsidRDefault="00856B2F" w:rsidP="00856B2F">
      <w:pPr>
        <w:spacing w:before="240" w:after="240"/>
        <w:ind w:left="851" w:right="900"/>
        <w:jc w:val="both"/>
        <w:rPr>
          <w:rFonts w:ascii="Palatino Linotype" w:hAnsi="Palatino Linotype" w:cs="Arial"/>
          <w:bCs/>
          <w:i/>
          <w:iCs/>
          <w:sz w:val="22"/>
          <w:szCs w:val="22"/>
        </w:rPr>
      </w:pPr>
      <w:r w:rsidRPr="005668F4">
        <w:rPr>
          <w:rFonts w:ascii="Palatino Linotype" w:hAnsi="Palatino Linotype" w:cs="Arial"/>
          <w:bCs/>
          <w:i/>
          <w:iCs/>
          <w:sz w:val="22"/>
          <w:szCs w:val="22"/>
        </w:rPr>
        <w:t>“</w:t>
      </w:r>
      <w:r w:rsidRPr="005668F4">
        <w:rPr>
          <w:rFonts w:ascii="Palatino Linotype" w:hAnsi="Palatino Linotype" w:cs="Arial"/>
          <w:b/>
          <w:bCs/>
          <w:i/>
          <w:iCs/>
          <w:sz w:val="22"/>
          <w:szCs w:val="22"/>
        </w:rPr>
        <w:t>FUNDAMENTACION Y MOTIVACION. </w:t>
      </w:r>
      <w:r w:rsidRPr="005668F4">
        <w:rPr>
          <w:rFonts w:ascii="Palatino Linotype" w:hAnsi="Palatino Linotype" w:cs="Arial"/>
          <w:bCs/>
          <w:i/>
          <w:iCs/>
          <w:sz w:val="22"/>
          <w:szCs w:val="22"/>
        </w:rPr>
        <w:t>La debida fundamentación y motivación legal, deben entenderse, por lo primero</w:t>
      </w:r>
      <w:r w:rsidRPr="005668F4">
        <w:rPr>
          <w:rFonts w:ascii="Palatino Linotype" w:hAnsi="Palatino Linotype" w:cs="Arial"/>
          <w:b/>
          <w:bCs/>
          <w:i/>
          <w:iCs/>
          <w:sz w:val="22"/>
          <w:szCs w:val="22"/>
        </w:rPr>
        <w:t xml:space="preserve">, </w:t>
      </w:r>
      <w:r w:rsidRPr="005668F4">
        <w:rPr>
          <w:rFonts w:ascii="Palatino Linotype" w:hAnsi="Palatino Linotype" w:cs="Arial"/>
          <w:bCs/>
          <w:i/>
          <w:iCs/>
          <w:sz w:val="22"/>
          <w:szCs w:val="22"/>
          <w:u w:val="single"/>
        </w:rPr>
        <w:t>la cita del precepto legal aplicable al caso, y por lo segundo, las razones, motivos o circunstancias especiales que llevaron a la autoridad a concluir que el caso particular encuadra en el supuesto previsto por la norma</w:t>
      </w:r>
      <w:r w:rsidRPr="005668F4">
        <w:rPr>
          <w:rFonts w:ascii="Palatino Linotype" w:hAnsi="Palatino Linotype" w:cs="Arial"/>
          <w:bCs/>
          <w:i/>
          <w:iCs/>
          <w:sz w:val="22"/>
          <w:szCs w:val="22"/>
        </w:rPr>
        <w:t> legal invocada como fundamento.”</w:t>
      </w:r>
    </w:p>
    <w:p w14:paraId="6FB03FAF" w14:textId="14E64268" w:rsidR="00093178" w:rsidRDefault="00093178" w:rsidP="000D03CC">
      <w:pPr>
        <w:spacing w:before="240" w:after="240" w:line="360" w:lineRule="auto"/>
        <w:jc w:val="both"/>
        <w:rPr>
          <w:rFonts w:ascii="Palatino Linotype" w:hAnsi="Palatino Linotype" w:cs="Arial"/>
        </w:rPr>
      </w:pPr>
      <w:r>
        <w:rPr>
          <w:rFonts w:ascii="Palatino Linotype" w:hAnsi="Palatino Linotype" w:cs="Arial"/>
        </w:rPr>
        <w:t xml:space="preserve">Por tanto, finalmente se </w:t>
      </w:r>
      <w:r w:rsidR="00856B2F">
        <w:rPr>
          <w:rFonts w:ascii="Palatino Linotype" w:hAnsi="Palatino Linotype" w:cs="Arial"/>
        </w:rPr>
        <w:t>dejan a salvo los derechos del</w:t>
      </w:r>
      <w:r>
        <w:rPr>
          <w:rFonts w:ascii="Palatino Linotype" w:hAnsi="Palatino Linotype" w:cs="Arial"/>
        </w:rPr>
        <w:t xml:space="preserve"> particular para que formule las solicitudes de acceso a la información pública que resulten de su interés, ante los Sujetos Obligados que estime convenientes.</w:t>
      </w:r>
    </w:p>
    <w:p w14:paraId="36367A62" w14:textId="54407D42" w:rsidR="00F33D7B" w:rsidRDefault="00F33D7B" w:rsidP="00F33D7B">
      <w:pPr>
        <w:spacing w:before="240" w:after="240" w:line="360" w:lineRule="auto"/>
        <w:jc w:val="both"/>
        <w:rPr>
          <w:rFonts w:ascii="Palatino Linotype" w:hAnsi="Palatino Linotype" w:cs="Arial"/>
        </w:rPr>
      </w:pPr>
      <w:r w:rsidRPr="000A3EB9">
        <w:rPr>
          <w:rFonts w:ascii="Palatino Linotype" w:hAnsi="Palatino Linotype" w:cs="Arial"/>
        </w:rPr>
        <w:t xml:space="preserve">Así, con fundamento en lo prescrito en los artículos 5 párrafos </w:t>
      </w:r>
      <w:r w:rsidR="007427C4">
        <w:rPr>
          <w:rFonts w:ascii="Palatino Linotype" w:hAnsi="Palatino Linotype" w:cs="Arial"/>
        </w:rPr>
        <w:t>vigésimo, vigésimo primero y vigésimo segundo</w:t>
      </w:r>
      <w:r w:rsidRPr="000A3EB9">
        <w:rPr>
          <w:rFonts w:ascii="Palatino Linotype" w:hAnsi="Palatino Linotype" w:cs="Arial"/>
        </w:rPr>
        <w:t xml:space="preserve"> de la Constitución Política del Estado Libre y Soberano de México; 2, fracción II; 29, 36 fracciones I y II; 176, 178,</w:t>
      </w:r>
      <w:r w:rsidR="00CC1AB2">
        <w:rPr>
          <w:rFonts w:ascii="Palatino Linotype" w:hAnsi="Palatino Linotype" w:cs="Arial"/>
        </w:rPr>
        <w:t xml:space="preserve"> 179</w:t>
      </w:r>
      <w:r>
        <w:rPr>
          <w:rFonts w:ascii="Palatino Linotype" w:hAnsi="Palatino Linotype" w:cs="Arial"/>
        </w:rPr>
        <w:t>,</w:t>
      </w:r>
      <w:r w:rsidRPr="000A3EB9">
        <w:rPr>
          <w:rFonts w:ascii="Palatino Linotype" w:hAnsi="Palatino Linotype" w:cs="Arial"/>
        </w:rPr>
        <w:t xml:space="preserve"> 181, 185 fracción I de la Ley de Transparencia y Acceso a la Información Pública del Estado de México y Municipios, este Pleno:</w:t>
      </w:r>
      <w:r>
        <w:rPr>
          <w:rFonts w:ascii="Palatino Linotype" w:hAnsi="Palatino Linotype" w:cs="Arial"/>
        </w:rPr>
        <w:t xml:space="preserve"> </w:t>
      </w:r>
    </w:p>
    <w:p w14:paraId="6301E10F" w14:textId="77777777" w:rsidR="00F33D7B" w:rsidRPr="008A0711" w:rsidRDefault="00F33D7B" w:rsidP="00F33D7B">
      <w:pPr>
        <w:pStyle w:val="Prrafodelista"/>
        <w:numPr>
          <w:ilvl w:val="0"/>
          <w:numId w:val="3"/>
        </w:numPr>
        <w:spacing w:before="240" w:after="240" w:line="360" w:lineRule="auto"/>
        <w:contextualSpacing/>
        <w:jc w:val="center"/>
        <w:rPr>
          <w:rFonts w:ascii="Palatino Linotype" w:hAnsi="Palatino Linotype" w:cs="Arial"/>
          <w:b/>
        </w:rPr>
      </w:pPr>
      <w:r w:rsidRPr="008A0711">
        <w:rPr>
          <w:rFonts w:ascii="Palatino Linotype" w:hAnsi="Palatino Linotype" w:cs="Arial"/>
          <w:b/>
        </w:rPr>
        <w:t>R E S U E L V E:</w:t>
      </w:r>
    </w:p>
    <w:p w14:paraId="70D2414E" w14:textId="79670997" w:rsidR="00856B2F" w:rsidRPr="00623957" w:rsidRDefault="00856B2F" w:rsidP="00856B2F">
      <w:pPr>
        <w:spacing w:before="240" w:after="240" w:line="360" w:lineRule="auto"/>
        <w:jc w:val="both"/>
        <w:rPr>
          <w:rFonts w:ascii="Palatino Linotype" w:hAnsi="Palatino Linotype" w:cs="Arial"/>
        </w:rPr>
      </w:pPr>
      <w:r w:rsidRPr="00623957">
        <w:rPr>
          <w:rFonts w:ascii="Palatino Linotype" w:hAnsi="Palatino Linotype" w:cs="Arial"/>
          <w:b/>
        </w:rPr>
        <w:t xml:space="preserve">Primero. </w:t>
      </w:r>
      <w:r>
        <w:rPr>
          <w:rFonts w:ascii="Palatino Linotype" w:hAnsi="Palatino Linotype" w:cs="Arial"/>
        </w:rPr>
        <w:t xml:space="preserve">Son parcialmente </w:t>
      </w:r>
      <w:r w:rsidRPr="00623957">
        <w:rPr>
          <w:rFonts w:ascii="Palatino Linotype" w:hAnsi="Palatino Linotype" w:cs="Arial"/>
        </w:rPr>
        <w:t xml:space="preserve">fundados los motivos de inconformidad expuestos por </w:t>
      </w:r>
      <w:r>
        <w:rPr>
          <w:rFonts w:ascii="Palatino Linotype" w:hAnsi="Palatino Linotype" w:cs="Arial"/>
          <w:b/>
        </w:rPr>
        <w:t>el</w:t>
      </w:r>
      <w:r w:rsidRPr="00623957">
        <w:rPr>
          <w:rFonts w:ascii="Palatino Linotype" w:hAnsi="Palatino Linotype" w:cs="Arial"/>
          <w:b/>
        </w:rPr>
        <w:t xml:space="preserve"> recurrente</w:t>
      </w:r>
      <w:r w:rsidRPr="00623957">
        <w:rPr>
          <w:rFonts w:ascii="Palatino Linotype" w:hAnsi="Palatino Linotype" w:cs="Arial"/>
        </w:rPr>
        <w:t xml:space="preserve">, en términos de los argumentos de derecho señalados en el considerando </w:t>
      </w:r>
      <w:r>
        <w:rPr>
          <w:rFonts w:ascii="Palatino Linotype" w:hAnsi="Palatino Linotype" w:cs="Arial"/>
        </w:rPr>
        <w:t>Cuarto</w:t>
      </w:r>
      <w:r w:rsidRPr="00623957">
        <w:rPr>
          <w:rFonts w:ascii="Palatino Linotype" w:hAnsi="Palatino Linotype" w:cs="Arial"/>
        </w:rPr>
        <w:t xml:space="preserve">, por ende se </w:t>
      </w:r>
      <w:r>
        <w:rPr>
          <w:rFonts w:ascii="Palatino Linotype" w:hAnsi="Palatino Linotype" w:cs="Arial"/>
          <w:b/>
        </w:rPr>
        <w:t>MODIFICA</w:t>
      </w:r>
      <w:r>
        <w:rPr>
          <w:rFonts w:ascii="Palatino Linotype" w:hAnsi="Palatino Linotype" w:cs="Arial"/>
        </w:rPr>
        <w:t xml:space="preserve"> la</w:t>
      </w:r>
      <w:r w:rsidRPr="00623957">
        <w:rPr>
          <w:rFonts w:ascii="Palatino Linotype" w:hAnsi="Palatino Linotype" w:cs="Arial"/>
        </w:rPr>
        <w:t xml:space="preserve"> respuesta del Sujeto Obligado.</w:t>
      </w:r>
    </w:p>
    <w:p w14:paraId="4D203C28" w14:textId="00E7CE16" w:rsidR="00856B2F" w:rsidRPr="00623957" w:rsidRDefault="00856B2F" w:rsidP="00856B2F">
      <w:pPr>
        <w:spacing w:before="240" w:after="240" w:line="360" w:lineRule="auto"/>
        <w:jc w:val="both"/>
        <w:rPr>
          <w:rFonts w:ascii="Palatino Linotype" w:hAnsi="Palatino Linotype"/>
        </w:rPr>
      </w:pPr>
      <w:r w:rsidRPr="00623957">
        <w:rPr>
          <w:rFonts w:ascii="Palatino Linotype" w:hAnsi="Palatino Linotype" w:cs="Arial"/>
          <w:b/>
        </w:rPr>
        <w:t xml:space="preserve">Segundo. </w:t>
      </w:r>
      <w:r w:rsidRPr="00623957">
        <w:rPr>
          <w:rFonts w:ascii="Palatino Linotype" w:hAnsi="Palatino Linotype"/>
        </w:rPr>
        <w:t xml:space="preserve">Se </w:t>
      </w:r>
      <w:r w:rsidRPr="00623957">
        <w:rPr>
          <w:rFonts w:ascii="Palatino Linotype" w:hAnsi="Palatino Linotype"/>
          <w:b/>
        </w:rPr>
        <w:t>ORDENA</w:t>
      </w:r>
      <w:r w:rsidRPr="00623957">
        <w:rPr>
          <w:rFonts w:ascii="Palatino Linotype" w:hAnsi="Palatino Linotype"/>
        </w:rPr>
        <w:t xml:space="preserve"> al Sujeto Obligado, a que en términos de</w:t>
      </w:r>
      <w:r>
        <w:rPr>
          <w:rFonts w:ascii="Palatino Linotype" w:hAnsi="Palatino Linotype"/>
        </w:rPr>
        <w:t>l</w:t>
      </w:r>
      <w:r w:rsidRPr="00623957">
        <w:rPr>
          <w:rFonts w:ascii="Palatino Linotype" w:hAnsi="Palatino Linotype"/>
        </w:rPr>
        <w:t xml:space="preserve"> considerando </w:t>
      </w:r>
      <w:r>
        <w:rPr>
          <w:rFonts w:ascii="Palatino Linotype" w:hAnsi="Palatino Linotype"/>
        </w:rPr>
        <w:t xml:space="preserve">Cuarto </w:t>
      </w:r>
      <w:r w:rsidRPr="00623957">
        <w:rPr>
          <w:rFonts w:ascii="Palatino Linotype" w:hAnsi="Palatino Linotype"/>
        </w:rPr>
        <w:t>de esta resolución, haga entrega vía SAIMEX</w:t>
      </w:r>
      <w:r>
        <w:rPr>
          <w:rFonts w:ascii="Palatino Linotype" w:hAnsi="Palatino Linotype"/>
        </w:rPr>
        <w:t xml:space="preserve"> de </w:t>
      </w:r>
      <w:r>
        <w:rPr>
          <w:rFonts w:ascii="Palatino Linotype" w:hAnsi="Palatino Linotype" w:cs="Arial"/>
        </w:rPr>
        <w:t>lo siguiente</w:t>
      </w:r>
      <w:r w:rsidRPr="00623957">
        <w:rPr>
          <w:rFonts w:ascii="Palatino Linotype" w:hAnsi="Palatino Linotype"/>
        </w:rPr>
        <w:t>:</w:t>
      </w:r>
    </w:p>
    <w:p w14:paraId="68B096E2" w14:textId="651EA3FD" w:rsidR="00856B2F" w:rsidRDefault="00856B2F" w:rsidP="00856B2F">
      <w:pPr>
        <w:pStyle w:val="Prrafodelista"/>
        <w:numPr>
          <w:ilvl w:val="0"/>
          <w:numId w:val="33"/>
        </w:numPr>
        <w:spacing w:before="240" w:after="240" w:line="360" w:lineRule="auto"/>
        <w:jc w:val="both"/>
        <w:rPr>
          <w:rFonts w:ascii="Palatino Linotype" w:hAnsi="Palatino Linotype"/>
          <w:color w:val="000000"/>
        </w:rPr>
      </w:pPr>
      <w:r>
        <w:rPr>
          <w:rFonts w:ascii="Palatino Linotype" w:hAnsi="Palatino Linotype"/>
          <w:color w:val="000000"/>
        </w:rPr>
        <w:t>El acuerdo de declaratoria de incompetencia emitido por su Comité de Transparencia respecto del padrón de afiliados o militantes del Municipio de Temascalcingo</w:t>
      </w:r>
      <w:r w:rsidRPr="00CA7255">
        <w:rPr>
          <w:rFonts w:ascii="Palatino Linotype" w:hAnsi="Palatino Linotype"/>
          <w:color w:val="000000"/>
        </w:rPr>
        <w:t>.</w:t>
      </w:r>
    </w:p>
    <w:p w14:paraId="663E4A24" w14:textId="77777777" w:rsidR="00856B2F" w:rsidRPr="00AB35A5" w:rsidRDefault="00856B2F" w:rsidP="00856B2F">
      <w:pPr>
        <w:spacing w:before="240" w:line="360" w:lineRule="auto"/>
        <w:contextualSpacing/>
        <w:jc w:val="both"/>
        <w:rPr>
          <w:rFonts w:ascii="Palatino Linotype" w:hAnsi="Palatino Linotype" w:cs="Arial"/>
        </w:rPr>
      </w:pPr>
      <w:r w:rsidRPr="007E27E3">
        <w:rPr>
          <w:rFonts w:ascii="Palatino Linotype" w:hAnsi="Palatino Linotype" w:cs="Arial"/>
          <w:b/>
          <w:bCs/>
          <w:shd w:val="clear" w:color="auto" w:fill="FFFFFF"/>
        </w:rPr>
        <w:t>Tercero. Remítase</w:t>
      </w:r>
      <w:r w:rsidRPr="007E27E3">
        <w:rPr>
          <w:rStyle w:val="apple-converted-space"/>
          <w:rFonts w:ascii="Palatino Linotype" w:hAnsi="Palatino Linotype" w:cs="Arial"/>
          <w:b/>
          <w:bCs/>
          <w:i/>
          <w:iCs/>
          <w:shd w:val="clear" w:color="auto" w:fill="FFFFFF"/>
        </w:rPr>
        <w:t> </w:t>
      </w:r>
      <w:r w:rsidRPr="007E27E3">
        <w:rPr>
          <w:rFonts w:ascii="Palatino Linotype" w:hAnsi="Palatino Linotype"/>
          <w:shd w:val="clear" w:color="auto" w:fill="FFFFFF"/>
        </w:rPr>
        <w:t>al Responsable de la Unidad de Transparencia del</w:t>
      </w:r>
      <w:r w:rsidRPr="007E27E3">
        <w:rPr>
          <w:rStyle w:val="apple-converted-space"/>
          <w:rFonts w:ascii="Palatino Linotype" w:hAnsi="Palatino Linotype"/>
          <w:bCs/>
          <w:shd w:val="clear" w:color="auto" w:fill="FFFFFF"/>
        </w:rPr>
        <w:t> </w:t>
      </w:r>
      <w:r w:rsidRPr="007E27E3">
        <w:rPr>
          <w:rFonts w:ascii="Palatino Linotype" w:hAnsi="Palatino Linotype"/>
          <w:bCs/>
          <w:shd w:val="clear" w:color="auto" w:fill="FFFFFF"/>
        </w:rPr>
        <w:t>Sujeto Obligado</w:t>
      </w:r>
      <w:r>
        <w:rPr>
          <w:rFonts w:ascii="Palatino Linotype" w:hAnsi="Palatino Linotype"/>
          <w:shd w:val="clear" w:color="auto" w:fill="FFFFFF"/>
        </w:rPr>
        <w:t xml:space="preserve"> la presente resolución, </w:t>
      </w:r>
      <w:r w:rsidRPr="007E27E3">
        <w:rPr>
          <w:rFonts w:ascii="Palatino Linotype" w:hAnsi="Palatino Linotype"/>
          <w:shd w:val="clear" w:color="auto" w:fill="FFFFFF"/>
        </w:rPr>
        <w:t>para que conforme a los artículo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w:t>
      </w:r>
    </w:p>
    <w:p w14:paraId="5FDD7167" w14:textId="7EAF44F4" w:rsidR="00F33D7B" w:rsidRPr="007427C4" w:rsidRDefault="00856B2F" w:rsidP="00856B2F">
      <w:pPr>
        <w:spacing w:before="240" w:line="360" w:lineRule="auto"/>
        <w:jc w:val="both"/>
        <w:rPr>
          <w:rFonts w:ascii="Palatino Linotype" w:hAnsi="Palatino Linotype" w:cs="Arial"/>
        </w:rPr>
      </w:pPr>
      <w:r w:rsidRPr="00A22E55">
        <w:rPr>
          <w:rFonts w:ascii="Palatino Linotype" w:hAnsi="Palatino Linotype" w:cs="Arial"/>
          <w:b/>
        </w:rPr>
        <w:t xml:space="preserve">Cuarto.  </w:t>
      </w:r>
      <w:r w:rsidRPr="00B92B46">
        <w:rPr>
          <w:rFonts w:ascii="Palatino Linotype" w:hAnsi="Palatino Linotype" w:cs="Arial"/>
          <w:b/>
        </w:rPr>
        <w:t>Hágase del conocimiento</w:t>
      </w:r>
      <w:r>
        <w:rPr>
          <w:rFonts w:ascii="Palatino Linotype" w:hAnsi="Palatino Linotype" w:cs="Arial"/>
        </w:rPr>
        <w:t xml:space="preserve"> de la parte recurrente, la presente resolución, así como, que de conformidad con lo establecido en el artículo 196 de la </w:t>
      </w:r>
      <w:r w:rsidRPr="0071646D">
        <w:rPr>
          <w:rFonts w:ascii="Palatino Linotype" w:hAnsi="Palatino Linotype" w:cs="Arial"/>
        </w:rPr>
        <w:t>Ley de Transparencia y Acceso a la Información Pública del Estado de México y Municipios</w:t>
      </w:r>
      <w:r>
        <w:rPr>
          <w:rFonts w:ascii="Palatino Linotype" w:hAnsi="Palatino Linotype" w:cs="Arial"/>
        </w:rPr>
        <w:t>, podrá impugnarla vía Juicio de Amparo en los términos de las leyes aplicables.</w:t>
      </w:r>
    </w:p>
    <w:p w14:paraId="09B3145B" w14:textId="7A9F4AB3" w:rsidR="00945197" w:rsidRDefault="00945197" w:rsidP="00AC4122">
      <w:pPr>
        <w:spacing w:before="240" w:after="240" w:line="360" w:lineRule="auto"/>
        <w:jc w:val="both"/>
        <w:rPr>
          <w:rFonts w:ascii="Palatino Linotype" w:hAnsi="Palatino Linotype" w:cs="Arial"/>
        </w:rPr>
      </w:pPr>
      <w:r w:rsidRPr="00AC4122">
        <w:rPr>
          <w:rFonts w:ascii="Palatino Linotype" w:hAnsi="Palatino Linotype"/>
          <w:color w:val="000000"/>
        </w:rPr>
        <w:t xml:space="preserve">ASÍ LO RESUELVE, </w:t>
      </w:r>
      <w:r w:rsidRPr="004B5C83">
        <w:rPr>
          <w:rFonts w:ascii="Palatino Linotype" w:hAnsi="Palatino Linotype"/>
          <w:color w:val="000000"/>
        </w:rPr>
        <w:t>POR UNANIMIDAD DE VOTOS,</w:t>
      </w:r>
      <w:r w:rsidRPr="00AC4122">
        <w:rPr>
          <w:rFonts w:ascii="Palatino Linotype" w:hAnsi="Palatino Linotype"/>
          <w:color w:val="000000"/>
        </w:rPr>
        <w:t xml:space="preserve"> EL PLENO DEL INSTITUTO DE TRANSPARENCIA, ACCESO A LA INFORMACIÓN PÚBLICA Y PROTECCIÓN DE DATOS PERSONALES DEL ESTADO DE MÉXICO Y MUNICIPIOS, CONFORMADO POR LOS COMISIONADOS; </w:t>
      </w:r>
      <w:r w:rsidR="007427C4" w:rsidRPr="00AC4122">
        <w:rPr>
          <w:rFonts w:ascii="Palatino Linotype" w:hAnsi="Palatino Linotype"/>
          <w:color w:val="000000"/>
        </w:rPr>
        <w:t>ZULEMA MARTÍNEZ SÁNCHEZ</w:t>
      </w:r>
      <w:r w:rsidR="007427C4">
        <w:rPr>
          <w:rFonts w:ascii="Palatino Linotype" w:hAnsi="Palatino Linotype"/>
          <w:color w:val="000000"/>
        </w:rPr>
        <w:t xml:space="preserve">; </w:t>
      </w:r>
      <w:r w:rsidRPr="00AC4122">
        <w:rPr>
          <w:rFonts w:ascii="Palatino Linotype" w:hAnsi="Palatino Linotype"/>
          <w:color w:val="000000"/>
        </w:rPr>
        <w:t>EVA ABAID YAPUR;</w:t>
      </w:r>
      <w:r w:rsidR="00DC04FB">
        <w:rPr>
          <w:rFonts w:ascii="Palatino Linotype" w:hAnsi="Palatino Linotype"/>
          <w:color w:val="000000"/>
        </w:rPr>
        <w:t xml:space="preserve"> JOSÉ GUADALUPE LUNA HERNÁNDEZ Y </w:t>
      </w:r>
      <w:r w:rsidRPr="00AC4122">
        <w:rPr>
          <w:rFonts w:ascii="Palatino Linotype" w:hAnsi="Palatino Linotype"/>
          <w:color w:val="000000"/>
        </w:rPr>
        <w:t xml:space="preserve">JAVIER MARTÍNEZ CRUZ; EN LA </w:t>
      </w:r>
      <w:r w:rsidR="00856B2F">
        <w:rPr>
          <w:rFonts w:ascii="Palatino Linotype" w:hAnsi="Palatino Linotype"/>
          <w:color w:val="000000"/>
        </w:rPr>
        <w:t>TRIGÉSIMA PRIMERA</w:t>
      </w:r>
      <w:r w:rsidR="00CC7CEB">
        <w:rPr>
          <w:rFonts w:ascii="Palatino Linotype" w:hAnsi="Palatino Linotype"/>
          <w:color w:val="000000"/>
        </w:rPr>
        <w:t xml:space="preserve"> </w:t>
      </w:r>
      <w:r w:rsidRPr="00AC4122">
        <w:rPr>
          <w:rFonts w:ascii="Palatino Linotype" w:hAnsi="Palatino Linotype"/>
          <w:color w:val="000000"/>
        </w:rPr>
        <w:t xml:space="preserve">SESIÓN ORDINARIA CELEBRADA EL </w:t>
      </w:r>
      <w:r w:rsidR="00856B2F">
        <w:rPr>
          <w:rFonts w:ascii="Palatino Linotype" w:hAnsi="Palatino Linotype"/>
          <w:color w:val="000000"/>
        </w:rPr>
        <w:t>VEINTINUEVE</w:t>
      </w:r>
      <w:r w:rsidR="004C3FDC">
        <w:rPr>
          <w:rFonts w:ascii="Palatino Linotype" w:hAnsi="Palatino Linotype"/>
          <w:color w:val="000000"/>
        </w:rPr>
        <w:t xml:space="preserve"> </w:t>
      </w:r>
      <w:r w:rsidRPr="00AC4122">
        <w:rPr>
          <w:rFonts w:ascii="Palatino Linotype" w:hAnsi="Palatino Linotype"/>
          <w:color w:val="000000"/>
        </w:rPr>
        <w:t xml:space="preserve">DE </w:t>
      </w:r>
      <w:r w:rsidR="00F11050">
        <w:rPr>
          <w:rFonts w:ascii="Palatino Linotype" w:hAnsi="Palatino Linotype"/>
          <w:color w:val="000000"/>
        </w:rPr>
        <w:t>AGOSTO</w:t>
      </w:r>
      <w:r w:rsidR="00DC04FB">
        <w:rPr>
          <w:rFonts w:ascii="Palatino Linotype" w:hAnsi="Palatino Linotype"/>
          <w:color w:val="000000"/>
        </w:rPr>
        <w:t xml:space="preserve"> DE DOS MIL DIECIOCHO, ANTE EL SECRETARIO TÉCNICO</w:t>
      </w:r>
      <w:r w:rsidRPr="00AC4122">
        <w:rPr>
          <w:rFonts w:ascii="Palatino Linotype" w:hAnsi="Palatino Linotype"/>
          <w:color w:val="000000"/>
        </w:rPr>
        <w:t xml:space="preserve"> DEL PLENO </w:t>
      </w:r>
      <w:r w:rsidR="00DC04FB">
        <w:rPr>
          <w:rFonts w:ascii="Palatino Linotype" w:hAnsi="Palatino Linotype"/>
          <w:color w:val="000000"/>
        </w:rPr>
        <w:t>ALEXIS TAPIA RAMÍREZ</w:t>
      </w:r>
      <w:r w:rsidRPr="00AC4122">
        <w:rPr>
          <w:rFonts w:ascii="Palatino Linotype" w:hAnsi="Palatino Linotype"/>
          <w:color w:val="000000"/>
        </w:rPr>
        <w:t>.</w:t>
      </w:r>
      <w:r w:rsidRPr="00AC4122">
        <w:rPr>
          <w:rFonts w:ascii="Palatino Linotype" w:hAnsi="Palatino Linotype" w:cs="Arial"/>
        </w:rPr>
        <w:t xml:space="preserve"> </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9"/>
        <w:gridCol w:w="4419"/>
      </w:tblGrid>
      <w:tr w:rsidR="00945197" w14:paraId="5739931F" w14:textId="77777777" w:rsidTr="00945197">
        <w:trPr>
          <w:trHeight w:val="1807"/>
        </w:trPr>
        <w:tc>
          <w:tcPr>
            <w:tcW w:w="8838" w:type="dxa"/>
            <w:gridSpan w:val="2"/>
            <w:vAlign w:val="center"/>
          </w:tcPr>
          <w:p w14:paraId="3001F0C4" w14:textId="77777777" w:rsidR="00DC04FB" w:rsidRDefault="00DC04FB" w:rsidP="00945197">
            <w:pPr>
              <w:jc w:val="center"/>
              <w:rPr>
                <w:rFonts w:ascii="Palatino Linotype" w:hAnsi="Palatino Linotype" w:cs="Arial"/>
                <w:b/>
              </w:rPr>
            </w:pPr>
          </w:p>
          <w:p w14:paraId="557E54F6" w14:textId="77777777" w:rsidR="00DC04FB" w:rsidRDefault="00DC04FB" w:rsidP="00945197">
            <w:pPr>
              <w:jc w:val="center"/>
              <w:rPr>
                <w:rFonts w:ascii="Palatino Linotype" w:hAnsi="Palatino Linotype" w:cs="Arial"/>
                <w:b/>
              </w:rPr>
            </w:pPr>
          </w:p>
          <w:p w14:paraId="5903385C" w14:textId="77777777" w:rsidR="00E2114C" w:rsidRDefault="00E2114C" w:rsidP="00945197">
            <w:pPr>
              <w:jc w:val="center"/>
              <w:rPr>
                <w:rFonts w:ascii="Palatino Linotype" w:hAnsi="Palatino Linotype" w:cs="Arial"/>
                <w:b/>
              </w:rPr>
            </w:pPr>
          </w:p>
          <w:p w14:paraId="6B960BAB" w14:textId="77777777" w:rsidR="00E2114C" w:rsidRDefault="00E2114C" w:rsidP="00945197">
            <w:pPr>
              <w:jc w:val="center"/>
              <w:rPr>
                <w:rFonts w:ascii="Palatino Linotype" w:hAnsi="Palatino Linotype" w:cs="Arial"/>
                <w:b/>
              </w:rPr>
            </w:pPr>
          </w:p>
          <w:p w14:paraId="78E9CFFA" w14:textId="77777777" w:rsidR="00F11050" w:rsidRDefault="00F11050" w:rsidP="00945197">
            <w:pPr>
              <w:jc w:val="center"/>
              <w:rPr>
                <w:rFonts w:ascii="Palatino Linotype" w:hAnsi="Palatino Linotype" w:cs="Arial"/>
                <w:b/>
              </w:rPr>
            </w:pPr>
          </w:p>
          <w:p w14:paraId="36208D0C" w14:textId="77777777" w:rsidR="00945197" w:rsidRPr="00AA69A4" w:rsidRDefault="007427C4" w:rsidP="00945197">
            <w:pPr>
              <w:jc w:val="center"/>
              <w:rPr>
                <w:rFonts w:ascii="Palatino Linotype" w:hAnsi="Palatino Linotype"/>
                <w:b/>
              </w:rPr>
            </w:pPr>
            <w:r>
              <w:rPr>
                <w:rFonts w:ascii="Palatino Linotype" w:hAnsi="Palatino Linotype" w:cs="Arial"/>
                <w:b/>
              </w:rPr>
              <w:t>Zulema Martínez Sánchez</w:t>
            </w:r>
          </w:p>
          <w:p w14:paraId="66BC4321" w14:textId="77777777" w:rsidR="00945197" w:rsidRDefault="00945197" w:rsidP="00945197">
            <w:pPr>
              <w:jc w:val="center"/>
              <w:rPr>
                <w:rFonts w:ascii="Palatino Linotype" w:hAnsi="Palatino Linotype"/>
              </w:rPr>
            </w:pPr>
            <w:r>
              <w:rPr>
                <w:rFonts w:ascii="Palatino Linotype" w:hAnsi="Palatino Linotype"/>
              </w:rPr>
              <w:t>Comisionada Presidenta</w:t>
            </w:r>
          </w:p>
          <w:p w14:paraId="4C01AF89" w14:textId="45CF59EC" w:rsidR="00856B2F" w:rsidRDefault="00807DA0" w:rsidP="00945197">
            <w:pPr>
              <w:jc w:val="center"/>
              <w:rPr>
                <w:rFonts w:ascii="Palatino Linotype" w:hAnsi="Palatino Linotype"/>
              </w:rPr>
            </w:pPr>
            <w:r>
              <w:rPr>
                <w:rFonts w:ascii="Palatino Linotype" w:hAnsi="Palatino Linotype"/>
              </w:rPr>
              <w:t>(Rúbrica)</w:t>
            </w:r>
          </w:p>
          <w:p w14:paraId="3B2AC0BB" w14:textId="21330002" w:rsidR="00F11050" w:rsidRDefault="00F11050" w:rsidP="00945197">
            <w:pPr>
              <w:jc w:val="center"/>
              <w:rPr>
                <w:rFonts w:ascii="Palatino Linotype" w:hAnsi="Palatino Linotype"/>
              </w:rPr>
            </w:pPr>
          </w:p>
          <w:p w14:paraId="19CFE2B9" w14:textId="614D6F52" w:rsidR="00AC4122" w:rsidRDefault="00AC4122" w:rsidP="00DC04FB">
            <w:pPr>
              <w:jc w:val="center"/>
              <w:rPr>
                <w:rFonts w:ascii="Palatino Linotype" w:hAnsi="Palatino Linotype"/>
              </w:rPr>
            </w:pPr>
          </w:p>
        </w:tc>
      </w:tr>
      <w:tr w:rsidR="00945197" w14:paraId="7178970A" w14:textId="77777777" w:rsidTr="00945197">
        <w:trPr>
          <w:trHeight w:val="2156"/>
        </w:trPr>
        <w:tc>
          <w:tcPr>
            <w:tcW w:w="4419" w:type="dxa"/>
            <w:vAlign w:val="center"/>
          </w:tcPr>
          <w:p w14:paraId="6DC990B6" w14:textId="77777777" w:rsidR="00945197" w:rsidRDefault="00945197" w:rsidP="00945197">
            <w:pPr>
              <w:jc w:val="center"/>
              <w:rPr>
                <w:rFonts w:ascii="Palatino Linotype" w:hAnsi="Palatino Linotype"/>
                <w:b/>
              </w:rPr>
            </w:pPr>
          </w:p>
          <w:p w14:paraId="33A82921" w14:textId="77777777" w:rsidR="00945197" w:rsidRDefault="00945197" w:rsidP="00945197">
            <w:pPr>
              <w:jc w:val="center"/>
              <w:rPr>
                <w:rFonts w:ascii="Palatino Linotype" w:hAnsi="Palatino Linotype"/>
                <w:b/>
              </w:rPr>
            </w:pPr>
          </w:p>
          <w:p w14:paraId="0AA9499D" w14:textId="77777777" w:rsidR="00DC04FB" w:rsidRDefault="00DC04FB" w:rsidP="00945197">
            <w:pPr>
              <w:jc w:val="center"/>
              <w:rPr>
                <w:rFonts w:ascii="Palatino Linotype" w:hAnsi="Palatino Linotype"/>
                <w:b/>
              </w:rPr>
            </w:pPr>
          </w:p>
          <w:p w14:paraId="1B79D28C" w14:textId="77777777" w:rsidR="00DC04FB" w:rsidRDefault="00DC04FB" w:rsidP="00945197">
            <w:pPr>
              <w:jc w:val="center"/>
              <w:rPr>
                <w:rFonts w:ascii="Palatino Linotype" w:hAnsi="Palatino Linotype"/>
                <w:b/>
              </w:rPr>
            </w:pPr>
          </w:p>
          <w:p w14:paraId="2B8EF56A" w14:textId="77777777" w:rsidR="00DC04FB" w:rsidRDefault="00DC04FB" w:rsidP="00945197">
            <w:pPr>
              <w:jc w:val="center"/>
              <w:rPr>
                <w:rFonts w:ascii="Palatino Linotype" w:hAnsi="Palatino Linotype"/>
                <w:b/>
              </w:rPr>
            </w:pPr>
          </w:p>
          <w:p w14:paraId="3CDCAA06" w14:textId="77777777" w:rsidR="00F11050" w:rsidRDefault="00F11050" w:rsidP="00945197">
            <w:pPr>
              <w:jc w:val="center"/>
              <w:rPr>
                <w:rFonts w:ascii="Palatino Linotype" w:hAnsi="Palatino Linotype"/>
                <w:b/>
              </w:rPr>
            </w:pPr>
          </w:p>
          <w:p w14:paraId="553E96AD" w14:textId="77777777" w:rsidR="00945197" w:rsidRPr="00AA69A4" w:rsidRDefault="00945197" w:rsidP="00945197">
            <w:pPr>
              <w:jc w:val="center"/>
              <w:rPr>
                <w:rFonts w:ascii="Palatino Linotype" w:hAnsi="Palatino Linotype"/>
                <w:b/>
              </w:rPr>
            </w:pPr>
            <w:r w:rsidRPr="00AA69A4">
              <w:rPr>
                <w:rFonts w:ascii="Palatino Linotype" w:hAnsi="Palatino Linotype"/>
                <w:b/>
              </w:rPr>
              <w:t>Eva Abaid Yapur</w:t>
            </w:r>
          </w:p>
          <w:p w14:paraId="4A36C5B7" w14:textId="77777777" w:rsidR="00945197" w:rsidRDefault="00945197" w:rsidP="00945197">
            <w:pPr>
              <w:jc w:val="center"/>
              <w:rPr>
                <w:rFonts w:ascii="Palatino Linotype" w:hAnsi="Palatino Linotype"/>
              </w:rPr>
            </w:pPr>
            <w:r>
              <w:rPr>
                <w:rFonts w:ascii="Palatino Linotype" w:hAnsi="Palatino Linotype"/>
              </w:rPr>
              <w:t>Comisionada</w:t>
            </w:r>
          </w:p>
          <w:p w14:paraId="749AA3FA" w14:textId="3EB9962A" w:rsidR="00AC4122" w:rsidRPr="00CB18E5" w:rsidRDefault="00807DA0" w:rsidP="00CB18E5">
            <w:pPr>
              <w:jc w:val="center"/>
              <w:rPr>
                <w:rFonts w:ascii="Palatino Linotype" w:hAnsi="Palatino Linotype"/>
              </w:rPr>
            </w:pPr>
            <w:r>
              <w:rPr>
                <w:rFonts w:ascii="Palatino Linotype" w:hAnsi="Palatino Linotype"/>
              </w:rPr>
              <w:t>(Rúbrica)</w:t>
            </w:r>
          </w:p>
        </w:tc>
        <w:tc>
          <w:tcPr>
            <w:tcW w:w="4419" w:type="dxa"/>
            <w:vAlign w:val="center"/>
          </w:tcPr>
          <w:p w14:paraId="54997621" w14:textId="77777777" w:rsidR="00945197" w:rsidRDefault="00945197" w:rsidP="00945197">
            <w:pPr>
              <w:jc w:val="center"/>
              <w:rPr>
                <w:rFonts w:ascii="Palatino Linotype" w:hAnsi="Palatino Linotype"/>
                <w:b/>
              </w:rPr>
            </w:pPr>
          </w:p>
          <w:p w14:paraId="589D2D76" w14:textId="77777777" w:rsidR="00945197" w:rsidRDefault="00945197" w:rsidP="00945197">
            <w:pPr>
              <w:jc w:val="center"/>
              <w:rPr>
                <w:rFonts w:ascii="Palatino Linotype" w:hAnsi="Palatino Linotype"/>
                <w:b/>
              </w:rPr>
            </w:pPr>
          </w:p>
          <w:p w14:paraId="3FDCE4A9" w14:textId="77777777" w:rsidR="00DC04FB" w:rsidRDefault="00DC04FB" w:rsidP="00945197">
            <w:pPr>
              <w:jc w:val="center"/>
              <w:rPr>
                <w:rFonts w:ascii="Palatino Linotype" w:hAnsi="Palatino Linotype"/>
                <w:b/>
              </w:rPr>
            </w:pPr>
          </w:p>
          <w:p w14:paraId="183D0D60" w14:textId="77777777" w:rsidR="00DC04FB" w:rsidRDefault="00DC04FB" w:rsidP="00945197">
            <w:pPr>
              <w:jc w:val="center"/>
              <w:rPr>
                <w:rFonts w:ascii="Palatino Linotype" w:hAnsi="Palatino Linotype"/>
                <w:b/>
              </w:rPr>
            </w:pPr>
          </w:p>
          <w:p w14:paraId="7936D784" w14:textId="77777777" w:rsidR="00DC04FB" w:rsidRDefault="00DC04FB" w:rsidP="00945197">
            <w:pPr>
              <w:jc w:val="center"/>
              <w:rPr>
                <w:rFonts w:ascii="Palatino Linotype" w:hAnsi="Palatino Linotype"/>
                <w:b/>
              </w:rPr>
            </w:pPr>
          </w:p>
          <w:p w14:paraId="787379EC" w14:textId="77777777" w:rsidR="00F11050" w:rsidRDefault="00F11050" w:rsidP="00945197">
            <w:pPr>
              <w:jc w:val="center"/>
              <w:rPr>
                <w:rFonts w:ascii="Palatino Linotype" w:hAnsi="Palatino Linotype"/>
                <w:b/>
              </w:rPr>
            </w:pPr>
          </w:p>
          <w:p w14:paraId="4CE25BFF" w14:textId="77777777" w:rsidR="00945197" w:rsidRPr="00AA69A4" w:rsidRDefault="00945197" w:rsidP="00945197">
            <w:pPr>
              <w:jc w:val="center"/>
              <w:rPr>
                <w:rFonts w:ascii="Palatino Linotype" w:hAnsi="Palatino Linotype"/>
                <w:b/>
              </w:rPr>
            </w:pPr>
            <w:r>
              <w:rPr>
                <w:rFonts w:ascii="Palatino Linotype" w:hAnsi="Palatino Linotype"/>
                <w:b/>
              </w:rPr>
              <w:t>José Guadalupe Luna Hernández</w:t>
            </w:r>
          </w:p>
          <w:p w14:paraId="2281D71C" w14:textId="77777777" w:rsidR="00945197" w:rsidRDefault="00945197" w:rsidP="00945197">
            <w:pPr>
              <w:jc w:val="center"/>
              <w:rPr>
                <w:rFonts w:ascii="Palatino Linotype" w:hAnsi="Palatino Linotype"/>
              </w:rPr>
            </w:pPr>
            <w:r>
              <w:rPr>
                <w:rFonts w:ascii="Palatino Linotype" w:hAnsi="Palatino Linotype"/>
              </w:rPr>
              <w:t>Comisionado</w:t>
            </w:r>
          </w:p>
          <w:p w14:paraId="22F022ED" w14:textId="70C2A485" w:rsidR="00AC4122" w:rsidRDefault="00807DA0" w:rsidP="00CB18E5">
            <w:pPr>
              <w:jc w:val="center"/>
              <w:rPr>
                <w:rFonts w:ascii="Palatino Linotype" w:hAnsi="Palatino Linotype"/>
              </w:rPr>
            </w:pPr>
            <w:r>
              <w:rPr>
                <w:rFonts w:ascii="Palatino Linotype" w:hAnsi="Palatino Linotype"/>
              </w:rPr>
              <w:t>(Rúbrica)</w:t>
            </w:r>
          </w:p>
        </w:tc>
      </w:tr>
      <w:tr w:rsidR="00945197" w14:paraId="621F0DC1" w14:textId="77777777" w:rsidTr="00945197">
        <w:trPr>
          <w:trHeight w:val="1953"/>
        </w:trPr>
        <w:tc>
          <w:tcPr>
            <w:tcW w:w="8838" w:type="dxa"/>
            <w:gridSpan w:val="2"/>
            <w:vAlign w:val="center"/>
          </w:tcPr>
          <w:p w14:paraId="3A475CA2" w14:textId="77777777" w:rsidR="00945197" w:rsidRDefault="00945197" w:rsidP="00945197">
            <w:pPr>
              <w:jc w:val="center"/>
              <w:rPr>
                <w:rFonts w:ascii="Palatino Linotype" w:hAnsi="Palatino Linotype" w:cs="Arial"/>
                <w:b/>
              </w:rPr>
            </w:pPr>
          </w:p>
          <w:p w14:paraId="28B856CB" w14:textId="77777777" w:rsidR="00CB18E5" w:rsidRDefault="00CB18E5" w:rsidP="00945197">
            <w:pPr>
              <w:jc w:val="center"/>
              <w:rPr>
                <w:rFonts w:ascii="Palatino Linotype" w:hAnsi="Palatino Linotype" w:cs="Arial"/>
                <w:b/>
              </w:rPr>
            </w:pPr>
          </w:p>
          <w:p w14:paraId="42E6756C" w14:textId="77777777" w:rsidR="00CB18E5" w:rsidRDefault="00CB18E5" w:rsidP="00945197">
            <w:pPr>
              <w:jc w:val="center"/>
              <w:rPr>
                <w:rFonts w:ascii="Palatino Linotype" w:hAnsi="Palatino Linotype" w:cs="Arial"/>
                <w:b/>
              </w:rPr>
            </w:pPr>
          </w:p>
          <w:p w14:paraId="1E339B9C" w14:textId="77777777" w:rsidR="00CB18E5" w:rsidRDefault="00CB18E5" w:rsidP="00945197">
            <w:pPr>
              <w:jc w:val="center"/>
              <w:rPr>
                <w:rFonts w:ascii="Palatino Linotype" w:hAnsi="Palatino Linotype" w:cs="Arial"/>
                <w:b/>
              </w:rPr>
            </w:pPr>
          </w:p>
          <w:p w14:paraId="48C5C735" w14:textId="77777777" w:rsidR="00CB18E5" w:rsidRDefault="00CB18E5" w:rsidP="00945197">
            <w:pPr>
              <w:jc w:val="center"/>
              <w:rPr>
                <w:rFonts w:ascii="Palatino Linotype" w:hAnsi="Palatino Linotype" w:cs="Arial"/>
                <w:b/>
              </w:rPr>
            </w:pPr>
          </w:p>
          <w:p w14:paraId="62421277" w14:textId="2550E19D" w:rsidR="00945197" w:rsidRDefault="00945197" w:rsidP="00945197">
            <w:pPr>
              <w:jc w:val="center"/>
              <w:rPr>
                <w:rFonts w:ascii="Palatino Linotype" w:hAnsi="Palatino Linotype" w:cs="Arial"/>
                <w:b/>
              </w:rPr>
            </w:pPr>
            <w:r>
              <w:rPr>
                <w:rFonts w:ascii="Palatino Linotype" w:hAnsi="Palatino Linotype" w:cs="Arial"/>
                <w:b/>
              </w:rPr>
              <w:t xml:space="preserve">     Javier Martínez Cruz                               </w:t>
            </w:r>
          </w:p>
          <w:p w14:paraId="492D4A50" w14:textId="77777777" w:rsidR="00DC04FB" w:rsidRDefault="00945197" w:rsidP="00945197">
            <w:pPr>
              <w:jc w:val="center"/>
              <w:rPr>
                <w:rFonts w:ascii="Palatino Linotype" w:hAnsi="Palatino Linotype" w:cs="Arial"/>
              </w:rPr>
            </w:pPr>
            <w:r>
              <w:rPr>
                <w:rFonts w:ascii="Palatino Linotype" w:hAnsi="Palatino Linotype" w:cs="Arial"/>
              </w:rPr>
              <w:t xml:space="preserve">Comisionado   </w:t>
            </w:r>
          </w:p>
          <w:p w14:paraId="0ABAB7F6" w14:textId="762E654B" w:rsidR="00F11050" w:rsidRDefault="00807DA0" w:rsidP="00945197">
            <w:pPr>
              <w:jc w:val="center"/>
              <w:rPr>
                <w:rFonts w:ascii="Palatino Linotype" w:hAnsi="Palatino Linotype" w:cs="Arial"/>
              </w:rPr>
            </w:pPr>
            <w:r>
              <w:rPr>
                <w:rFonts w:ascii="Palatino Linotype" w:hAnsi="Palatino Linotype"/>
              </w:rPr>
              <w:t>(Rúbrica)</w:t>
            </w:r>
          </w:p>
          <w:p w14:paraId="2AD37D07" w14:textId="72B4914D" w:rsidR="00945197" w:rsidRDefault="00945197" w:rsidP="00945197">
            <w:pPr>
              <w:jc w:val="center"/>
              <w:rPr>
                <w:rFonts w:ascii="Palatino Linotype" w:hAnsi="Palatino Linotype" w:cs="Arial"/>
              </w:rPr>
            </w:pPr>
            <w:r>
              <w:rPr>
                <w:rFonts w:ascii="Palatino Linotype" w:hAnsi="Palatino Linotype" w:cs="Arial"/>
              </w:rPr>
              <w:t xml:space="preserve">                                                </w:t>
            </w:r>
          </w:p>
          <w:p w14:paraId="6C82EA48" w14:textId="77777777" w:rsidR="00DC04FB" w:rsidRDefault="00DC04FB" w:rsidP="00945197">
            <w:pPr>
              <w:jc w:val="center"/>
              <w:rPr>
                <w:rFonts w:ascii="Palatino Linotype" w:hAnsi="Palatino Linotype" w:cs="Arial"/>
              </w:rPr>
            </w:pPr>
          </w:p>
          <w:p w14:paraId="1BCB523F" w14:textId="52A91B17" w:rsidR="005345A1" w:rsidRPr="005218B0" w:rsidRDefault="005345A1" w:rsidP="00440002">
            <w:pPr>
              <w:jc w:val="center"/>
              <w:rPr>
                <w:rFonts w:ascii="Palatino Linotype" w:hAnsi="Palatino Linotype" w:cs="Arial"/>
              </w:rPr>
            </w:pPr>
          </w:p>
        </w:tc>
      </w:tr>
      <w:tr w:rsidR="00945197" w14:paraId="3DFE4234" w14:textId="77777777" w:rsidTr="00945197">
        <w:trPr>
          <w:trHeight w:val="1655"/>
        </w:trPr>
        <w:tc>
          <w:tcPr>
            <w:tcW w:w="8838" w:type="dxa"/>
            <w:gridSpan w:val="2"/>
            <w:vAlign w:val="center"/>
          </w:tcPr>
          <w:p w14:paraId="7F900F1A" w14:textId="77777777" w:rsidR="008D7793" w:rsidRDefault="008D7793" w:rsidP="00945197">
            <w:pPr>
              <w:jc w:val="center"/>
              <w:rPr>
                <w:rFonts w:ascii="Palatino Linotype" w:hAnsi="Palatino Linotype" w:cs="Arial"/>
                <w:b/>
              </w:rPr>
            </w:pPr>
          </w:p>
          <w:p w14:paraId="2E9D805C" w14:textId="77777777" w:rsidR="00207AA2" w:rsidRDefault="00207AA2" w:rsidP="00945197">
            <w:pPr>
              <w:jc w:val="center"/>
              <w:rPr>
                <w:rFonts w:ascii="Palatino Linotype" w:hAnsi="Palatino Linotype" w:cs="Arial"/>
                <w:b/>
              </w:rPr>
            </w:pPr>
          </w:p>
          <w:p w14:paraId="0AA06EE8" w14:textId="77777777" w:rsidR="00945197" w:rsidRDefault="00945197" w:rsidP="00945197">
            <w:pPr>
              <w:jc w:val="center"/>
              <w:rPr>
                <w:rFonts w:ascii="Palatino Linotype" w:hAnsi="Palatino Linotype" w:cs="Arial"/>
                <w:b/>
              </w:rPr>
            </w:pPr>
          </w:p>
          <w:p w14:paraId="47CB600C" w14:textId="48A63BD9" w:rsidR="00945197" w:rsidRPr="00AA69A4" w:rsidRDefault="00DC04FB" w:rsidP="00945197">
            <w:pPr>
              <w:jc w:val="center"/>
              <w:rPr>
                <w:rFonts w:ascii="Palatino Linotype" w:hAnsi="Palatino Linotype"/>
                <w:b/>
              </w:rPr>
            </w:pPr>
            <w:r>
              <w:rPr>
                <w:rFonts w:ascii="Palatino Linotype" w:hAnsi="Palatino Linotype" w:cs="Arial"/>
                <w:b/>
              </w:rPr>
              <w:t>Alexis Tapia Ramírez</w:t>
            </w:r>
          </w:p>
          <w:p w14:paraId="2ADFD5D3" w14:textId="223D0AF3" w:rsidR="00945197" w:rsidRDefault="00DC04FB" w:rsidP="00945197">
            <w:pPr>
              <w:jc w:val="center"/>
              <w:rPr>
                <w:rFonts w:ascii="Palatino Linotype" w:hAnsi="Palatino Linotype"/>
              </w:rPr>
            </w:pPr>
            <w:r>
              <w:rPr>
                <w:rFonts w:ascii="Palatino Linotype" w:hAnsi="Palatino Linotype"/>
              </w:rPr>
              <w:t>Secretario Técnico</w:t>
            </w:r>
            <w:r w:rsidR="00945197">
              <w:rPr>
                <w:rFonts w:ascii="Palatino Linotype" w:hAnsi="Palatino Linotype"/>
              </w:rPr>
              <w:t xml:space="preserve"> del Pleno</w:t>
            </w:r>
          </w:p>
          <w:p w14:paraId="6CF0EC7F" w14:textId="71ADC6E2" w:rsidR="00807DA0" w:rsidRDefault="00807DA0" w:rsidP="00945197">
            <w:pPr>
              <w:jc w:val="center"/>
              <w:rPr>
                <w:rFonts w:ascii="Palatino Linotype" w:hAnsi="Palatino Linotype"/>
              </w:rPr>
            </w:pPr>
            <w:r>
              <w:rPr>
                <w:rFonts w:ascii="Palatino Linotype" w:hAnsi="Palatino Linotype"/>
              </w:rPr>
              <w:t>(Rúbrica)</w:t>
            </w:r>
          </w:p>
          <w:p w14:paraId="603074D0" w14:textId="6FE22CF0" w:rsidR="00AC4122" w:rsidRDefault="00AC4122" w:rsidP="00050452">
            <w:pPr>
              <w:jc w:val="center"/>
              <w:rPr>
                <w:rFonts w:ascii="Palatino Linotype" w:hAnsi="Palatino Linotype"/>
              </w:rPr>
            </w:pPr>
          </w:p>
        </w:tc>
      </w:tr>
    </w:tbl>
    <w:p w14:paraId="58F57515" w14:textId="4E327B3F" w:rsidR="00DF560E" w:rsidRDefault="00945197" w:rsidP="00DF560E">
      <w:pPr>
        <w:jc w:val="both"/>
        <w:rPr>
          <w:rFonts w:ascii="Palatino Linotype" w:hAnsi="Palatino Linotype" w:cs="Arial"/>
        </w:rPr>
      </w:pPr>
      <w:r w:rsidRPr="00CB18E5">
        <w:rPr>
          <w:rFonts w:ascii="Palatino Linotype" w:hAnsi="Palatino Linotype" w:cs="Arial"/>
          <w:sz w:val="20"/>
        </w:rPr>
        <w:t xml:space="preserve">Esta hoja corresponde a la resolución de </w:t>
      </w:r>
      <w:r w:rsidR="00856B2F">
        <w:rPr>
          <w:rFonts w:ascii="Palatino Linotype" w:hAnsi="Palatino Linotype" w:cs="Arial"/>
          <w:sz w:val="20"/>
        </w:rPr>
        <w:t>veintinueve</w:t>
      </w:r>
      <w:r w:rsidR="007427C4" w:rsidRPr="00CB18E5">
        <w:rPr>
          <w:rFonts w:ascii="Palatino Linotype" w:hAnsi="Palatino Linotype" w:cs="Arial"/>
          <w:sz w:val="20"/>
        </w:rPr>
        <w:t xml:space="preserve"> </w:t>
      </w:r>
      <w:r w:rsidRPr="00CB18E5">
        <w:rPr>
          <w:rFonts w:ascii="Palatino Linotype" w:hAnsi="Palatino Linotype" w:cs="Arial"/>
          <w:sz w:val="20"/>
        </w:rPr>
        <w:t xml:space="preserve">de </w:t>
      </w:r>
      <w:r w:rsidR="00F11050" w:rsidRPr="00CB18E5">
        <w:rPr>
          <w:rFonts w:ascii="Palatino Linotype" w:hAnsi="Palatino Linotype" w:cs="Arial"/>
          <w:sz w:val="20"/>
        </w:rPr>
        <w:t>agosto</w:t>
      </w:r>
      <w:r w:rsidRPr="00CB18E5">
        <w:rPr>
          <w:rFonts w:ascii="Palatino Linotype" w:hAnsi="Palatino Linotype" w:cs="Arial"/>
          <w:sz w:val="20"/>
        </w:rPr>
        <w:t xml:space="preserve"> de dos mil </w:t>
      </w:r>
      <w:r w:rsidR="00DC04FB" w:rsidRPr="00CB18E5">
        <w:rPr>
          <w:rFonts w:ascii="Palatino Linotype" w:hAnsi="Palatino Linotype" w:cs="Arial"/>
          <w:sz w:val="20"/>
        </w:rPr>
        <w:t>dieciocho</w:t>
      </w:r>
      <w:r w:rsidR="007427C4" w:rsidRPr="00CB18E5">
        <w:rPr>
          <w:rFonts w:ascii="Palatino Linotype" w:hAnsi="Palatino Linotype" w:cs="Arial"/>
          <w:sz w:val="20"/>
        </w:rPr>
        <w:t>, emitida en el</w:t>
      </w:r>
      <w:r w:rsidRPr="00CB18E5">
        <w:rPr>
          <w:rFonts w:ascii="Palatino Linotype" w:hAnsi="Palatino Linotype" w:cs="Arial"/>
          <w:sz w:val="20"/>
        </w:rPr>
        <w:t xml:space="preserve"> recurso de revisión </w:t>
      </w:r>
      <w:r w:rsidR="00856B2F">
        <w:rPr>
          <w:rFonts w:ascii="Palatino Linotype" w:hAnsi="Palatino Linotype" w:cs="Arial"/>
          <w:b/>
          <w:bCs/>
          <w:sz w:val="20"/>
        </w:rPr>
        <w:t>02564</w:t>
      </w:r>
      <w:r w:rsidR="00DC04FB" w:rsidRPr="00CB18E5">
        <w:rPr>
          <w:rFonts w:ascii="Palatino Linotype" w:hAnsi="Palatino Linotype" w:cs="Arial"/>
          <w:b/>
          <w:bCs/>
          <w:sz w:val="20"/>
        </w:rPr>
        <w:t>/INFOEM/IP/RR/2018</w:t>
      </w:r>
      <w:r w:rsidRPr="0042480A">
        <w:rPr>
          <w:rFonts w:ascii="Palatino Linotype" w:hAnsi="Palatino Linotype" w:cs="Arial"/>
        </w:rPr>
        <w:t>.</w:t>
      </w:r>
    </w:p>
    <w:sectPr w:rsidR="00DF560E" w:rsidSect="00C60714">
      <w:headerReference w:type="default" r:id="rId20"/>
      <w:footerReference w:type="default" r:id="rId21"/>
      <w:headerReference w:type="first" r:id="rId22"/>
      <w:footerReference w:type="first" r:id="rId23"/>
      <w:pgSz w:w="12240" w:h="15840"/>
      <w:pgMar w:top="1985" w:right="1701" w:bottom="1701"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7030D5E" w14:textId="77777777" w:rsidR="00707AD2" w:rsidRDefault="00707AD2" w:rsidP="00C80F8C">
      <w:r>
        <w:separator/>
      </w:r>
    </w:p>
  </w:endnote>
  <w:endnote w:type="continuationSeparator" w:id="0">
    <w:p w14:paraId="085704E1" w14:textId="77777777" w:rsidR="00707AD2" w:rsidRDefault="00707AD2"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4BD0B5" w14:textId="77777777" w:rsidR="00E60788" w:rsidRDefault="00E60788" w:rsidP="00935A0D">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C9224E">
      <w:rPr>
        <w:rFonts w:ascii="Arial" w:hAnsi="Arial" w:cs="Arial"/>
        <w:b/>
        <w:bCs/>
        <w:noProof/>
        <w:sz w:val="20"/>
        <w:szCs w:val="20"/>
      </w:rPr>
      <w:t>2</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C9224E">
      <w:rPr>
        <w:rFonts w:ascii="Arial" w:hAnsi="Arial" w:cs="Arial"/>
        <w:b/>
        <w:bCs/>
        <w:noProof/>
        <w:sz w:val="20"/>
        <w:szCs w:val="20"/>
      </w:rPr>
      <w:t>12</w:t>
    </w:r>
    <w:r>
      <w:rPr>
        <w:rFonts w:ascii="Arial" w:hAnsi="Arial" w:cs="Arial"/>
        <w:b/>
        <w:bCs/>
        <w:sz w:val="20"/>
        <w:szCs w:val="20"/>
      </w:rPr>
      <w:fldChar w:fldCharType="end"/>
    </w:r>
  </w:p>
  <w:p w14:paraId="1192A578" w14:textId="77777777" w:rsidR="00E60788" w:rsidRDefault="00E60788" w:rsidP="00935A0D">
    <w:pPr>
      <w:pStyle w:val="Piedepgina"/>
      <w:rPr>
        <w:rFonts w:ascii="Times New Roman" w:hAnsi="Times New Roman" w:cs="Times New Roman"/>
      </w:rPr>
    </w:pPr>
  </w:p>
  <w:p w14:paraId="14A770F8" w14:textId="77777777" w:rsidR="00E60788" w:rsidRDefault="00E60788" w:rsidP="006F30F8">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0B0BFC" w14:textId="77777777" w:rsidR="00E60788" w:rsidRDefault="00E60788" w:rsidP="00935A0D">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C9224E">
      <w:rPr>
        <w:rFonts w:ascii="Arial" w:hAnsi="Arial" w:cs="Arial"/>
        <w:b/>
        <w:bCs/>
        <w:noProof/>
        <w:sz w:val="20"/>
        <w:szCs w:val="20"/>
      </w:rPr>
      <w:t>1</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C9224E">
      <w:rPr>
        <w:rFonts w:ascii="Arial" w:hAnsi="Arial" w:cs="Arial"/>
        <w:b/>
        <w:bCs/>
        <w:noProof/>
        <w:sz w:val="20"/>
        <w:szCs w:val="20"/>
      </w:rPr>
      <w:t>5</w:t>
    </w:r>
    <w:r>
      <w:rPr>
        <w:rFonts w:ascii="Arial" w:hAnsi="Arial" w:cs="Arial"/>
        <w:b/>
        <w:bCs/>
        <w:sz w:val="20"/>
        <w:szCs w:val="20"/>
      </w:rPr>
      <w:fldChar w:fldCharType="end"/>
    </w:r>
  </w:p>
  <w:p w14:paraId="5D98ABD5" w14:textId="77777777" w:rsidR="00E60788" w:rsidRDefault="00E6078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4A03BFC" w14:textId="77777777" w:rsidR="00707AD2" w:rsidRDefault="00707AD2" w:rsidP="00C80F8C">
      <w:r>
        <w:separator/>
      </w:r>
    </w:p>
  </w:footnote>
  <w:footnote w:type="continuationSeparator" w:id="0">
    <w:p w14:paraId="0C9E0387" w14:textId="77777777" w:rsidR="00707AD2" w:rsidRDefault="00707AD2" w:rsidP="00C80F8C">
      <w:r>
        <w:continuationSeparator/>
      </w:r>
    </w:p>
  </w:footnote>
  <w:footnote w:id="1">
    <w:p w14:paraId="06DB0589" w14:textId="0AB51413" w:rsidR="00434DDA" w:rsidRDefault="00434DDA">
      <w:pPr>
        <w:pStyle w:val="Textonotapie"/>
      </w:pPr>
      <w:r>
        <w:rPr>
          <w:rStyle w:val="Refdenotaalpie"/>
        </w:rPr>
        <w:footnoteRef/>
      </w:r>
      <w:r>
        <w:t xml:space="preserve"> </w:t>
      </w:r>
      <w:r w:rsidRPr="00434DDA">
        <w:t>https://www.infoem.org.mx/src/htm/directorioSO_ta.html</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954" w:type="dxa"/>
      <w:tblInd w:w="2977" w:type="dxa"/>
      <w:tblLayout w:type="fixed"/>
      <w:tblLook w:val="04A0" w:firstRow="1" w:lastRow="0" w:firstColumn="1" w:lastColumn="0" w:noHBand="0" w:noVBand="1"/>
    </w:tblPr>
    <w:tblGrid>
      <w:gridCol w:w="2552"/>
      <w:gridCol w:w="3402"/>
    </w:tblGrid>
    <w:tr w:rsidR="00E60788" w14:paraId="6B4E3B81" w14:textId="77777777" w:rsidTr="005A25CE">
      <w:tc>
        <w:tcPr>
          <w:tcW w:w="2552" w:type="dxa"/>
          <w:vAlign w:val="center"/>
          <w:hideMark/>
        </w:tcPr>
        <w:p w14:paraId="0ABBC6C0" w14:textId="77777777" w:rsidR="00E60788" w:rsidRDefault="00E60788" w:rsidP="009D4854">
          <w:pPr>
            <w:rPr>
              <w:rFonts w:ascii="Palatino Linotype" w:hAnsi="Palatino Linotype"/>
              <w:b/>
              <w:sz w:val="22"/>
              <w:szCs w:val="22"/>
              <w:lang w:val="es-ES_tradnl"/>
            </w:rPr>
          </w:pPr>
          <w:r>
            <w:rPr>
              <w:rFonts w:ascii="Palatino Linotype" w:hAnsi="Palatino Linotype"/>
              <w:b/>
              <w:sz w:val="22"/>
              <w:szCs w:val="22"/>
              <w:lang w:val="es-ES_tradnl"/>
            </w:rPr>
            <w:t>Recurso de Revisión:</w:t>
          </w:r>
        </w:p>
      </w:tc>
      <w:tc>
        <w:tcPr>
          <w:tcW w:w="3402" w:type="dxa"/>
          <w:vAlign w:val="center"/>
          <w:hideMark/>
        </w:tcPr>
        <w:p w14:paraId="60C471CA" w14:textId="6C175234" w:rsidR="00E60788" w:rsidRDefault="00E60788" w:rsidP="00F27DF1">
          <w:pPr>
            <w:jc w:val="both"/>
            <w:rPr>
              <w:rFonts w:ascii="Palatino Linotype" w:hAnsi="Palatino Linotype"/>
              <w:b/>
              <w:sz w:val="22"/>
              <w:szCs w:val="22"/>
              <w:lang w:val="es-ES_tradnl"/>
            </w:rPr>
          </w:pPr>
          <w:r>
            <w:rPr>
              <w:rFonts w:ascii="Palatino Linotype" w:hAnsi="Palatino Linotype"/>
              <w:b/>
              <w:sz w:val="22"/>
              <w:szCs w:val="22"/>
              <w:lang w:val="es-ES_tradnl"/>
            </w:rPr>
            <w:t xml:space="preserve">02564/INFOEM/IP/RR/2018 </w:t>
          </w:r>
        </w:p>
      </w:tc>
    </w:tr>
    <w:tr w:rsidR="00E60788" w14:paraId="31CB780F" w14:textId="77777777" w:rsidTr="005A25CE">
      <w:trPr>
        <w:trHeight w:val="228"/>
      </w:trPr>
      <w:tc>
        <w:tcPr>
          <w:tcW w:w="2552" w:type="dxa"/>
          <w:vAlign w:val="center"/>
          <w:hideMark/>
        </w:tcPr>
        <w:p w14:paraId="4F49CB4A" w14:textId="77777777" w:rsidR="00E60788" w:rsidRDefault="00E60788" w:rsidP="009D4854">
          <w:pPr>
            <w:rPr>
              <w:rFonts w:ascii="Palatino Linotype" w:hAnsi="Palatino Linotype"/>
              <w:b/>
              <w:sz w:val="22"/>
              <w:szCs w:val="22"/>
              <w:lang w:val="es-ES_tradnl"/>
            </w:rPr>
          </w:pPr>
          <w:r>
            <w:rPr>
              <w:rFonts w:ascii="Palatino Linotype" w:hAnsi="Palatino Linotype"/>
              <w:b/>
              <w:sz w:val="22"/>
              <w:szCs w:val="22"/>
              <w:lang w:val="es-ES_tradnl"/>
            </w:rPr>
            <w:t>Sujeto obligado:</w:t>
          </w:r>
        </w:p>
      </w:tc>
      <w:tc>
        <w:tcPr>
          <w:tcW w:w="3402" w:type="dxa"/>
          <w:vAlign w:val="center"/>
          <w:hideMark/>
        </w:tcPr>
        <w:p w14:paraId="5D08B318" w14:textId="4DC798A2" w:rsidR="00E60788" w:rsidRDefault="00E60788" w:rsidP="009904B5">
          <w:pPr>
            <w:rPr>
              <w:rFonts w:ascii="Palatino Linotype" w:hAnsi="Palatino Linotype"/>
              <w:b/>
              <w:sz w:val="22"/>
              <w:szCs w:val="22"/>
              <w:lang w:val="es-ES_tradnl"/>
            </w:rPr>
          </w:pPr>
          <w:r>
            <w:rPr>
              <w:rFonts w:ascii="Palatino Linotype" w:hAnsi="Palatino Linotype"/>
              <w:b/>
              <w:sz w:val="22"/>
              <w:szCs w:val="22"/>
              <w:lang w:val="es-ES_tradnl"/>
            </w:rPr>
            <w:t>Partido de la Revolución Democrática</w:t>
          </w:r>
        </w:p>
      </w:tc>
    </w:tr>
    <w:tr w:rsidR="00E60788" w14:paraId="69050F56" w14:textId="77777777" w:rsidTr="005A25CE">
      <w:tc>
        <w:tcPr>
          <w:tcW w:w="2552" w:type="dxa"/>
          <w:vAlign w:val="center"/>
          <w:hideMark/>
        </w:tcPr>
        <w:p w14:paraId="65C9B735" w14:textId="3CB772C2" w:rsidR="00E60788" w:rsidRDefault="00E60788" w:rsidP="009D4854">
          <w:pPr>
            <w:rPr>
              <w:rFonts w:ascii="Palatino Linotype" w:hAnsi="Palatino Linotype"/>
              <w:b/>
              <w:sz w:val="22"/>
              <w:szCs w:val="22"/>
              <w:lang w:val="es-ES_tradnl"/>
            </w:rPr>
          </w:pPr>
          <w:r>
            <w:rPr>
              <w:rFonts w:ascii="Palatino Linotype" w:hAnsi="Palatino Linotype"/>
              <w:b/>
              <w:sz w:val="22"/>
              <w:szCs w:val="22"/>
              <w:lang w:val="es-ES_tradnl"/>
            </w:rPr>
            <w:t>Comisionado ponente:</w:t>
          </w:r>
        </w:p>
      </w:tc>
      <w:tc>
        <w:tcPr>
          <w:tcW w:w="3402" w:type="dxa"/>
          <w:vAlign w:val="center"/>
          <w:hideMark/>
        </w:tcPr>
        <w:p w14:paraId="06864B57" w14:textId="21CAEFF5" w:rsidR="00E60788" w:rsidRDefault="00E60788" w:rsidP="004515B0">
          <w:pPr>
            <w:ind w:right="-533"/>
            <w:jc w:val="both"/>
            <w:rPr>
              <w:rFonts w:ascii="Palatino Linotype" w:hAnsi="Palatino Linotype"/>
              <w:b/>
              <w:sz w:val="22"/>
              <w:szCs w:val="22"/>
              <w:lang w:val="es-ES_tradnl"/>
            </w:rPr>
          </w:pPr>
          <w:r>
            <w:rPr>
              <w:rFonts w:ascii="Palatino Linotype" w:hAnsi="Palatino Linotype"/>
              <w:b/>
              <w:sz w:val="22"/>
              <w:szCs w:val="22"/>
              <w:lang w:val="es-ES_tradnl"/>
            </w:rPr>
            <w:t>Javier Martínez Cruz</w:t>
          </w:r>
        </w:p>
      </w:tc>
    </w:tr>
  </w:tbl>
  <w:p w14:paraId="0F9141D0" w14:textId="24747139" w:rsidR="00E60788" w:rsidRDefault="00E60788" w:rsidP="006F30F8">
    <w:pPr>
      <w:pStyle w:val="Encabezado"/>
      <w:tabs>
        <w:tab w:val="clear" w:pos="4252"/>
        <w:tab w:val="clear" w:pos="8504"/>
        <w:tab w:val="left" w:pos="2326"/>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4E970C" w14:textId="3837C31D" w:rsidR="00E60788" w:rsidRDefault="00E60788" w:rsidP="004515B0">
    <w:pPr>
      <w:pStyle w:val="Encabezado"/>
      <w:tabs>
        <w:tab w:val="left" w:pos="5812"/>
      </w:tabs>
      <w:jc w:val="both"/>
    </w:pPr>
    <w:r>
      <w:t xml:space="preserve">                                  </w:t>
    </w:r>
  </w:p>
  <w:tbl>
    <w:tblPr>
      <w:tblW w:w="6095" w:type="dxa"/>
      <w:tblInd w:w="2694" w:type="dxa"/>
      <w:tblLayout w:type="fixed"/>
      <w:tblLook w:val="04A0" w:firstRow="1" w:lastRow="0" w:firstColumn="1" w:lastColumn="0" w:noHBand="0" w:noVBand="1"/>
    </w:tblPr>
    <w:tblGrid>
      <w:gridCol w:w="2693"/>
      <w:gridCol w:w="3402"/>
    </w:tblGrid>
    <w:tr w:rsidR="00E60788" w14:paraId="477E149B" w14:textId="77777777" w:rsidTr="005A25CE">
      <w:tc>
        <w:tcPr>
          <w:tcW w:w="2693" w:type="dxa"/>
          <w:vAlign w:val="center"/>
          <w:hideMark/>
        </w:tcPr>
        <w:p w14:paraId="5C0586E4" w14:textId="77777777" w:rsidR="00E60788" w:rsidRDefault="00E60788" w:rsidP="00C47D1B">
          <w:pPr>
            <w:rPr>
              <w:rFonts w:ascii="Palatino Linotype" w:hAnsi="Palatino Linotype"/>
              <w:b/>
              <w:sz w:val="22"/>
              <w:szCs w:val="22"/>
              <w:lang w:val="es-ES_tradnl"/>
            </w:rPr>
          </w:pPr>
          <w:r>
            <w:rPr>
              <w:rFonts w:ascii="Palatino Linotype" w:hAnsi="Palatino Linotype"/>
              <w:b/>
              <w:sz w:val="22"/>
              <w:szCs w:val="22"/>
              <w:lang w:val="es-ES_tradnl"/>
            </w:rPr>
            <w:t>Recurso de Revisión:</w:t>
          </w:r>
        </w:p>
      </w:tc>
      <w:tc>
        <w:tcPr>
          <w:tcW w:w="3402" w:type="dxa"/>
          <w:vAlign w:val="center"/>
          <w:hideMark/>
        </w:tcPr>
        <w:p w14:paraId="5B14C95E" w14:textId="0FCD9757" w:rsidR="00E60788" w:rsidRDefault="00E60788" w:rsidP="00F27DF1">
          <w:pPr>
            <w:jc w:val="both"/>
            <w:rPr>
              <w:rFonts w:ascii="Palatino Linotype" w:hAnsi="Palatino Linotype"/>
              <w:b/>
              <w:sz w:val="22"/>
              <w:szCs w:val="22"/>
              <w:lang w:val="es-ES_tradnl"/>
            </w:rPr>
          </w:pPr>
          <w:r>
            <w:rPr>
              <w:rFonts w:ascii="Palatino Linotype" w:hAnsi="Palatino Linotype"/>
              <w:b/>
              <w:sz w:val="22"/>
              <w:szCs w:val="22"/>
              <w:lang w:val="es-ES_tradnl"/>
            </w:rPr>
            <w:t xml:space="preserve">02564/INFOEM/IP/RR/2018 </w:t>
          </w:r>
        </w:p>
      </w:tc>
    </w:tr>
    <w:tr w:rsidR="00E60788" w14:paraId="5B5BE21C" w14:textId="77777777" w:rsidTr="005A25CE">
      <w:tc>
        <w:tcPr>
          <w:tcW w:w="2693" w:type="dxa"/>
          <w:vAlign w:val="center"/>
          <w:hideMark/>
        </w:tcPr>
        <w:p w14:paraId="4AE96902" w14:textId="644F39C1" w:rsidR="00E60788" w:rsidRDefault="00E60788" w:rsidP="00087A2F">
          <w:pPr>
            <w:ind w:left="35" w:hanging="35"/>
            <w:rPr>
              <w:rFonts w:ascii="Palatino Linotype" w:hAnsi="Palatino Linotype"/>
              <w:b/>
              <w:sz w:val="22"/>
              <w:szCs w:val="22"/>
              <w:lang w:val="es-ES_tradnl"/>
            </w:rPr>
          </w:pPr>
          <w:r>
            <w:rPr>
              <w:rFonts w:ascii="Palatino Linotype" w:hAnsi="Palatino Linotype"/>
              <w:b/>
              <w:sz w:val="22"/>
              <w:szCs w:val="22"/>
              <w:lang w:val="es-ES_tradnl"/>
            </w:rPr>
            <w:t>Recurrente:</w:t>
          </w:r>
        </w:p>
      </w:tc>
      <w:tc>
        <w:tcPr>
          <w:tcW w:w="3402" w:type="dxa"/>
          <w:vAlign w:val="center"/>
          <w:hideMark/>
        </w:tcPr>
        <w:p w14:paraId="776E3E60" w14:textId="4E0E410A" w:rsidR="00E60788" w:rsidRDefault="00B958C9" w:rsidP="00B958C9">
          <w:pPr>
            <w:jc w:val="both"/>
            <w:rPr>
              <w:rFonts w:ascii="Palatino Linotype" w:hAnsi="Palatino Linotype"/>
              <w:b/>
              <w:sz w:val="22"/>
              <w:szCs w:val="22"/>
              <w:lang w:val="es-ES_tradnl"/>
            </w:rPr>
          </w:pPr>
          <w:r>
            <w:rPr>
              <w:rFonts w:ascii="Palatino Linotype" w:hAnsi="Palatino Linotype"/>
              <w:b/>
              <w:sz w:val="22"/>
              <w:szCs w:val="22"/>
              <w:lang w:val="es-ES_tradnl"/>
            </w:rPr>
            <w:t xml:space="preserve">Xxxxx x x </w:t>
          </w:r>
        </w:p>
      </w:tc>
    </w:tr>
    <w:tr w:rsidR="00E60788" w14:paraId="22601A11" w14:textId="77777777" w:rsidTr="005A25CE">
      <w:trPr>
        <w:trHeight w:val="228"/>
      </w:trPr>
      <w:tc>
        <w:tcPr>
          <w:tcW w:w="2693" w:type="dxa"/>
          <w:vAlign w:val="center"/>
          <w:hideMark/>
        </w:tcPr>
        <w:p w14:paraId="6EFE221D" w14:textId="77777777" w:rsidR="00E60788" w:rsidRDefault="00E60788" w:rsidP="00C47D1B">
          <w:pPr>
            <w:rPr>
              <w:rFonts w:ascii="Palatino Linotype" w:hAnsi="Palatino Linotype"/>
              <w:b/>
              <w:sz w:val="22"/>
              <w:szCs w:val="22"/>
              <w:lang w:val="es-ES_tradnl"/>
            </w:rPr>
          </w:pPr>
          <w:r>
            <w:rPr>
              <w:rFonts w:ascii="Palatino Linotype" w:hAnsi="Palatino Linotype"/>
              <w:b/>
              <w:sz w:val="22"/>
              <w:szCs w:val="22"/>
              <w:lang w:val="es-ES_tradnl"/>
            </w:rPr>
            <w:t>Sujeto obligado:</w:t>
          </w:r>
        </w:p>
      </w:tc>
      <w:tc>
        <w:tcPr>
          <w:tcW w:w="3402" w:type="dxa"/>
          <w:vAlign w:val="center"/>
          <w:hideMark/>
        </w:tcPr>
        <w:p w14:paraId="266F997D" w14:textId="5C29B4CE" w:rsidR="00E60788" w:rsidRDefault="00E60788" w:rsidP="009904B5">
          <w:pPr>
            <w:rPr>
              <w:rFonts w:ascii="Palatino Linotype" w:hAnsi="Palatino Linotype"/>
              <w:b/>
              <w:sz w:val="22"/>
              <w:szCs w:val="22"/>
              <w:lang w:val="es-ES_tradnl"/>
            </w:rPr>
          </w:pPr>
          <w:r>
            <w:rPr>
              <w:rFonts w:ascii="Palatino Linotype" w:hAnsi="Palatino Linotype"/>
              <w:b/>
              <w:sz w:val="22"/>
              <w:szCs w:val="22"/>
              <w:lang w:val="es-ES_tradnl"/>
            </w:rPr>
            <w:t>Partido de la Revolución Democrática</w:t>
          </w:r>
        </w:p>
      </w:tc>
    </w:tr>
    <w:tr w:rsidR="00E60788" w14:paraId="2D6C630E" w14:textId="77777777" w:rsidTr="005A25CE">
      <w:tc>
        <w:tcPr>
          <w:tcW w:w="2693" w:type="dxa"/>
          <w:vAlign w:val="center"/>
          <w:hideMark/>
        </w:tcPr>
        <w:p w14:paraId="5BD4C6DB" w14:textId="656677ED" w:rsidR="00E60788" w:rsidRDefault="00E60788" w:rsidP="00C47D1B">
          <w:pPr>
            <w:rPr>
              <w:rFonts w:ascii="Palatino Linotype" w:hAnsi="Palatino Linotype"/>
              <w:b/>
              <w:sz w:val="22"/>
              <w:szCs w:val="22"/>
              <w:lang w:val="es-ES_tradnl"/>
            </w:rPr>
          </w:pPr>
          <w:r>
            <w:rPr>
              <w:rFonts w:ascii="Palatino Linotype" w:hAnsi="Palatino Linotype"/>
              <w:b/>
              <w:sz w:val="22"/>
              <w:szCs w:val="22"/>
              <w:lang w:val="es-ES_tradnl"/>
            </w:rPr>
            <w:t>Comisionado ponente:</w:t>
          </w:r>
        </w:p>
      </w:tc>
      <w:tc>
        <w:tcPr>
          <w:tcW w:w="3402" w:type="dxa"/>
          <w:vAlign w:val="center"/>
          <w:hideMark/>
        </w:tcPr>
        <w:p w14:paraId="0CDDA0BE" w14:textId="7378CBC0" w:rsidR="00E60788" w:rsidRDefault="00E60788" w:rsidP="004515B0">
          <w:pPr>
            <w:ind w:right="-533"/>
            <w:jc w:val="both"/>
            <w:rPr>
              <w:rFonts w:ascii="Palatino Linotype" w:hAnsi="Palatino Linotype"/>
              <w:b/>
              <w:sz w:val="22"/>
              <w:szCs w:val="22"/>
              <w:lang w:val="es-ES_tradnl"/>
            </w:rPr>
          </w:pPr>
          <w:r>
            <w:rPr>
              <w:rFonts w:ascii="Palatino Linotype" w:hAnsi="Palatino Linotype"/>
              <w:b/>
              <w:sz w:val="22"/>
              <w:szCs w:val="22"/>
              <w:lang w:val="es-ES_tradnl"/>
            </w:rPr>
            <w:t>Javier Martínez Cruz</w:t>
          </w:r>
        </w:p>
      </w:tc>
    </w:tr>
  </w:tbl>
  <w:p w14:paraId="59DE3767" w14:textId="6FD10F8D" w:rsidR="00E60788" w:rsidRDefault="00E60788" w:rsidP="00C47D1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A01429"/>
    <w:multiLevelType w:val="hybridMultilevel"/>
    <w:tmpl w:val="E6C0D1C0"/>
    <w:lvl w:ilvl="0" w:tplc="69E27CA2">
      <w:start w:val="1"/>
      <w:numFmt w:val="upperRoman"/>
      <w:lvlText w:val="%1."/>
      <w:lvlJc w:val="left"/>
      <w:pPr>
        <w:ind w:left="862" w:hanging="720"/>
      </w:pPr>
      <w:rPr>
        <w:rFonts w:hint="default"/>
      </w:rPr>
    </w:lvl>
    <w:lvl w:ilvl="1" w:tplc="080A0019">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1">
    <w:nsid w:val="04073769"/>
    <w:multiLevelType w:val="hybridMultilevel"/>
    <w:tmpl w:val="F0E2A0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49D1B8E"/>
    <w:multiLevelType w:val="hybridMultilevel"/>
    <w:tmpl w:val="8578E85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
    <w:nsid w:val="0FE440D5"/>
    <w:multiLevelType w:val="hybridMultilevel"/>
    <w:tmpl w:val="C4186E54"/>
    <w:lvl w:ilvl="0" w:tplc="ECFE7B9E">
      <w:start w:val="6"/>
      <w:numFmt w:val="bullet"/>
      <w:lvlText w:val="-"/>
      <w:lvlJc w:val="left"/>
      <w:pPr>
        <w:ind w:left="360" w:hanging="360"/>
      </w:pPr>
      <w:rPr>
        <w:rFonts w:ascii="Palatino Linotype" w:eastAsia="Times New Roman" w:hAnsi="Palatino Linotype" w:cs="Times New Roman"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
    <w:nsid w:val="11DA1CF8"/>
    <w:multiLevelType w:val="hybridMultilevel"/>
    <w:tmpl w:val="6F1887EC"/>
    <w:lvl w:ilvl="0" w:tplc="02CEF1EE">
      <w:start w:val="1"/>
      <w:numFmt w:val="upperRoman"/>
      <w:suff w:val="space"/>
      <w:lvlText w:val="%1."/>
      <w:lvlJc w:val="right"/>
      <w:pPr>
        <w:ind w:left="1571" w:hanging="360"/>
      </w:pPr>
      <w:rPr>
        <w:b w:val="0"/>
      </w:r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5">
    <w:nsid w:val="11E3663B"/>
    <w:multiLevelType w:val="hybridMultilevel"/>
    <w:tmpl w:val="7B18D526"/>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6">
    <w:nsid w:val="19494CDA"/>
    <w:multiLevelType w:val="hybridMultilevel"/>
    <w:tmpl w:val="CAFA53BA"/>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1AD8077C"/>
    <w:multiLevelType w:val="hybridMultilevel"/>
    <w:tmpl w:val="E6C0D1C0"/>
    <w:lvl w:ilvl="0" w:tplc="69E27CA2">
      <w:start w:val="1"/>
      <w:numFmt w:val="upperRoman"/>
      <w:lvlText w:val="%1."/>
      <w:lvlJc w:val="left"/>
      <w:pPr>
        <w:ind w:left="1080" w:hanging="72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209C3215"/>
    <w:multiLevelType w:val="hybridMultilevel"/>
    <w:tmpl w:val="35C06CFA"/>
    <w:lvl w:ilvl="0" w:tplc="FBC4544A">
      <w:start w:val="1"/>
      <w:numFmt w:val="lowerLetter"/>
      <w:lvlText w:val="%1)"/>
      <w:lvlJc w:val="left"/>
      <w:pPr>
        <w:ind w:left="2880" w:hanging="360"/>
      </w:pPr>
      <w:rPr>
        <w:rFonts w:cs="Arial" w:hint="default"/>
      </w:rPr>
    </w:lvl>
    <w:lvl w:ilvl="1" w:tplc="080A0019" w:tentative="1">
      <w:start w:val="1"/>
      <w:numFmt w:val="lowerLetter"/>
      <w:lvlText w:val="%2."/>
      <w:lvlJc w:val="left"/>
      <w:pPr>
        <w:ind w:left="3600" w:hanging="360"/>
      </w:pPr>
    </w:lvl>
    <w:lvl w:ilvl="2" w:tplc="080A001B" w:tentative="1">
      <w:start w:val="1"/>
      <w:numFmt w:val="lowerRoman"/>
      <w:lvlText w:val="%3."/>
      <w:lvlJc w:val="right"/>
      <w:pPr>
        <w:ind w:left="4320" w:hanging="180"/>
      </w:pPr>
    </w:lvl>
    <w:lvl w:ilvl="3" w:tplc="080A000F" w:tentative="1">
      <w:start w:val="1"/>
      <w:numFmt w:val="decimal"/>
      <w:lvlText w:val="%4."/>
      <w:lvlJc w:val="left"/>
      <w:pPr>
        <w:ind w:left="5040" w:hanging="360"/>
      </w:pPr>
    </w:lvl>
    <w:lvl w:ilvl="4" w:tplc="080A0019" w:tentative="1">
      <w:start w:val="1"/>
      <w:numFmt w:val="lowerLetter"/>
      <w:lvlText w:val="%5."/>
      <w:lvlJc w:val="left"/>
      <w:pPr>
        <w:ind w:left="5760" w:hanging="360"/>
      </w:pPr>
    </w:lvl>
    <w:lvl w:ilvl="5" w:tplc="080A001B" w:tentative="1">
      <w:start w:val="1"/>
      <w:numFmt w:val="lowerRoman"/>
      <w:lvlText w:val="%6."/>
      <w:lvlJc w:val="right"/>
      <w:pPr>
        <w:ind w:left="6480" w:hanging="180"/>
      </w:pPr>
    </w:lvl>
    <w:lvl w:ilvl="6" w:tplc="080A000F" w:tentative="1">
      <w:start w:val="1"/>
      <w:numFmt w:val="decimal"/>
      <w:lvlText w:val="%7."/>
      <w:lvlJc w:val="left"/>
      <w:pPr>
        <w:ind w:left="7200" w:hanging="360"/>
      </w:pPr>
    </w:lvl>
    <w:lvl w:ilvl="7" w:tplc="080A0019" w:tentative="1">
      <w:start w:val="1"/>
      <w:numFmt w:val="lowerLetter"/>
      <w:lvlText w:val="%8."/>
      <w:lvlJc w:val="left"/>
      <w:pPr>
        <w:ind w:left="7920" w:hanging="360"/>
      </w:pPr>
    </w:lvl>
    <w:lvl w:ilvl="8" w:tplc="080A001B" w:tentative="1">
      <w:start w:val="1"/>
      <w:numFmt w:val="lowerRoman"/>
      <w:lvlText w:val="%9."/>
      <w:lvlJc w:val="right"/>
      <w:pPr>
        <w:ind w:left="8640" w:hanging="180"/>
      </w:pPr>
    </w:lvl>
  </w:abstractNum>
  <w:abstractNum w:abstractNumId="9">
    <w:nsid w:val="23911C48"/>
    <w:multiLevelType w:val="multilevel"/>
    <w:tmpl w:val="4D8C7E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93C1265"/>
    <w:multiLevelType w:val="hybridMultilevel"/>
    <w:tmpl w:val="A9AEFDF2"/>
    <w:lvl w:ilvl="0" w:tplc="080A0011">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1">
    <w:nsid w:val="2A343C8E"/>
    <w:multiLevelType w:val="hybridMultilevel"/>
    <w:tmpl w:val="40EAB9B8"/>
    <w:lvl w:ilvl="0" w:tplc="5AA8475A">
      <w:start w:val="1"/>
      <w:numFmt w:val="decimal"/>
      <w:lvlText w:val="%1)"/>
      <w:lvlJc w:val="left"/>
      <w:pPr>
        <w:ind w:left="927" w:hanging="360"/>
      </w:pPr>
      <w:rPr>
        <w:rFonts w:ascii="Arial" w:eastAsia="Calibri" w:hAnsi="Arial" w:cs="Arial"/>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2">
    <w:nsid w:val="33DA670B"/>
    <w:multiLevelType w:val="multilevel"/>
    <w:tmpl w:val="CEC4E5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4590B23"/>
    <w:multiLevelType w:val="hybridMultilevel"/>
    <w:tmpl w:val="C96EFCF8"/>
    <w:lvl w:ilvl="0" w:tplc="5B7AAEF6">
      <w:start w:val="1"/>
      <w:numFmt w:val="upperRoman"/>
      <w:lvlText w:val="%1."/>
      <w:lvlJc w:val="left"/>
      <w:pPr>
        <w:ind w:left="1713" w:hanging="720"/>
      </w:pPr>
      <w:rPr>
        <w:rFonts w:hint="default"/>
        <w:b/>
      </w:rPr>
    </w:lvl>
    <w:lvl w:ilvl="1" w:tplc="080A0019" w:tentative="1">
      <w:start w:val="1"/>
      <w:numFmt w:val="lowerLetter"/>
      <w:lvlText w:val="%2."/>
      <w:lvlJc w:val="left"/>
      <w:pPr>
        <w:ind w:left="2073" w:hanging="360"/>
      </w:pPr>
    </w:lvl>
    <w:lvl w:ilvl="2" w:tplc="080A001B" w:tentative="1">
      <w:start w:val="1"/>
      <w:numFmt w:val="lowerRoman"/>
      <w:lvlText w:val="%3."/>
      <w:lvlJc w:val="right"/>
      <w:pPr>
        <w:ind w:left="2793" w:hanging="180"/>
      </w:pPr>
    </w:lvl>
    <w:lvl w:ilvl="3" w:tplc="080A000F" w:tentative="1">
      <w:start w:val="1"/>
      <w:numFmt w:val="decimal"/>
      <w:lvlText w:val="%4."/>
      <w:lvlJc w:val="left"/>
      <w:pPr>
        <w:ind w:left="3513" w:hanging="360"/>
      </w:pPr>
    </w:lvl>
    <w:lvl w:ilvl="4" w:tplc="080A0019" w:tentative="1">
      <w:start w:val="1"/>
      <w:numFmt w:val="lowerLetter"/>
      <w:lvlText w:val="%5."/>
      <w:lvlJc w:val="left"/>
      <w:pPr>
        <w:ind w:left="4233" w:hanging="360"/>
      </w:pPr>
    </w:lvl>
    <w:lvl w:ilvl="5" w:tplc="080A001B" w:tentative="1">
      <w:start w:val="1"/>
      <w:numFmt w:val="lowerRoman"/>
      <w:lvlText w:val="%6."/>
      <w:lvlJc w:val="right"/>
      <w:pPr>
        <w:ind w:left="4953" w:hanging="180"/>
      </w:pPr>
    </w:lvl>
    <w:lvl w:ilvl="6" w:tplc="080A000F" w:tentative="1">
      <w:start w:val="1"/>
      <w:numFmt w:val="decimal"/>
      <w:lvlText w:val="%7."/>
      <w:lvlJc w:val="left"/>
      <w:pPr>
        <w:ind w:left="5673" w:hanging="360"/>
      </w:pPr>
    </w:lvl>
    <w:lvl w:ilvl="7" w:tplc="080A0019" w:tentative="1">
      <w:start w:val="1"/>
      <w:numFmt w:val="lowerLetter"/>
      <w:lvlText w:val="%8."/>
      <w:lvlJc w:val="left"/>
      <w:pPr>
        <w:ind w:left="6393" w:hanging="360"/>
      </w:pPr>
    </w:lvl>
    <w:lvl w:ilvl="8" w:tplc="080A001B" w:tentative="1">
      <w:start w:val="1"/>
      <w:numFmt w:val="lowerRoman"/>
      <w:lvlText w:val="%9."/>
      <w:lvlJc w:val="right"/>
      <w:pPr>
        <w:ind w:left="7113" w:hanging="180"/>
      </w:pPr>
    </w:lvl>
  </w:abstractNum>
  <w:abstractNum w:abstractNumId="14">
    <w:nsid w:val="3B6F5854"/>
    <w:multiLevelType w:val="hybridMultilevel"/>
    <w:tmpl w:val="362C8C96"/>
    <w:lvl w:ilvl="0" w:tplc="080A0017">
      <w:start w:val="1"/>
      <w:numFmt w:val="lowerLetter"/>
      <w:lvlText w:val="%1)"/>
      <w:lvlJc w:val="left"/>
      <w:pPr>
        <w:ind w:left="720" w:hanging="72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5">
    <w:nsid w:val="43A37DC6"/>
    <w:multiLevelType w:val="hybridMultilevel"/>
    <w:tmpl w:val="D8D042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45D6643C"/>
    <w:multiLevelType w:val="hybridMultilevel"/>
    <w:tmpl w:val="C2C486B8"/>
    <w:lvl w:ilvl="0" w:tplc="080A0017">
      <w:start w:val="1"/>
      <w:numFmt w:val="lowerLetter"/>
      <w:lvlText w:val="%1)"/>
      <w:lvlJc w:val="left"/>
      <w:pPr>
        <w:ind w:left="1800" w:hanging="360"/>
      </w:pPr>
      <w:rPr>
        <w:rFonts w:ascii="Times New Roman" w:hAnsi="Times New Roman" w:hint="default"/>
      </w:rPr>
    </w:lvl>
    <w:lvl w:ilvl="1" w:tplc="080A0019" w:tentative="1">
      <w:start w:val="1"/>
      <w:numFmt w:val="lowerLetter"/>
      <w:lvlText w:val="%2."/>
      <w:lvlJc w:val="left"/>
      <w:pPr>
        <w:ind w:left="2520" w:hanging="360"/>
      </w:pPr>
    </w:lvl>
    <w:lvl w:ilvl="2" w:tplc="080A001B" w:tentative="1">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abstractNum w:abstractNumId="17">
    <w:nsid w:val="462E196E"/>
    <w:multiLevelType w:val="hybridMultilevel"/>
    <w:tmpl w:val="CECAC88E"/>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473211CD"/>
    <w:multiLevelType w:val="hybridMultilevel"/>
    <w:tmpl w:val="C040F6B8"/>
    <w:lvl w:ilvl="0" w:tplc="5ECAE1D8">
      <w:start w:val="1"/>
      <w:numFmt w:val="decimal"/>
      <w:lvlText w:val="%1."/>
      <w:lvlJc w:val="left"/>
      <w:pPr>
        <w:ind w:left="720" w:hanging="360"/>
      </w:pPr>
      <w:rPr>
        <w:rFonts w:eastAsia="Arial Unicode MS"/>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9">
    <w:nsid w:val="4B874B01"/>
    <w:multiLevelType w:val="hybridMultilevel"/>
    <w:tmpl w:val="7FF8EA0A"/>
    <w:lvl w:ilvl="0" w:tplc="080A0017">
      <w:start w:val="1"/>
      <w:numFmt w:val="lowerLetter"/>
      <w:lvlText w:val="%1)"/>
      <w:lvlJc w:val="left"/>
      <w:pPr>
        <w:ind w:left="786" w:hanging="36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20">
    <w:nsid w:val="4D7835D2"/>
    <w:multiLevelType w:val="hybridMultilevel"/>
    <w:tmpl w:val="00BEC0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4EEA2746"/>
    <w:multiLevelType w:val="hybridMultilevel"/>
    <w:tmpl w:val="069E2EA4"/>
    <w:lvl w:ilvl="0" w:tplc="B96CE648">
      <w:start w:val="1"/>
      <w:numFmt w:val="upperRoman"/>
      <w:lvlText w:val="%1."/>
      <w:lvlJc w:val="left"/>
      <w:pPr>
        <w:ind w:left="1428" w:hanging="720"/>
      </w:pPr>
      <w:rPr>
        <w:rFonts w:hint="default"/>
        <w:b/>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2">
    <w:nsid w:val="546F7550"/>
    <w:multiLevelType w:val="hybridMultilevel"/>
    <w:tmpl w:val="402EA4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nsid w:val="5D0F631B"/>
    <w:multiLevelType w:val="hybridMultilevel"/>
    <w:tmpl w:val="B94051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66DE301C"/>
    <w:multiLevelType w:val="hybridMultilevel"/>
    <w:tmpl w:val="E4F65512"/>
    <w:lvl w:ilvl="0" w:tplc="0B8E90C8">
      <w:start w:val="1"/>
      <w:numFmt w:val="decimal"/>
      <w:lvlText w:val="%1."/>
      <w:lvlJc w:val="left"/>
      <w:pPr>
        <w:ind w:left="1211" w:hanging="360"/>
      </w:pPr>
      <w:rPr>
        <w:rFonts w:eastAsia="Times New Roman" w:hint="default"/>
        <w:b/>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25">
    <w:nsid w:val="687F14CE"/>
    <w:multiLevelType w:val="hybridMultilevel"/>
    <w:tmpl w:val="E6C0D1C0"/>
    <w:lvl w:ilvl="0" w:tplc="69E27CA2">
      <w:start w:val="1"/>
      <w:numFmt w:val="upperRoman"/>
      <w:lvlText w:val="%1."/>
      <w:lvlJc w:val="left"/>
      <w:pPr>
        <w:ind w:left="1080" w:hanging="72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6C45680C"/>
    <w:multiLevelType w:val="hybridMultilevel"/>
    <w:tmpl w:val="E7BEFBBC"/>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7">
    <w:nsid w:val="6E226038"/>
    <w:multiLevelType w:val="hybridMultilevel"/>
    <w:tmpl w:val="E6CCAC12"/>
    <w:lvl w:ilvl="0" w:tplc="E222E26A">
      <w:start w:val="1"/>
      <w:numFmt w:val="decimal"/>
      <w:lvlText w:val="%1."/>
      <w:lvlJc w:val="left"/>
      <w:pPr>
        <w:ind w:left="720" w:hanging="360"/>
      </w:pPr>
      <w:rPr>
        <w:rFonts w:ascii="Palatino Linotype" w:hAnsi="Palatino Linotype" w:hint="default"/>
        <w:b w:val="0"/>
        <w:i w:val="0"/>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6FAF4CB1"/>
    <w:multiLevelType w:val="hybridMultilevel"/>
    <w:tmpl w:val="C2A6CBD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9">
    <w:nsid w:val="741065A7"/>
    <w:multiLevelType w:val="hybridMultilevel"/>
    <w:tmpl w:val="E054A63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779D048C"/>
    <w:multiLevelType w:val="hybridMultilevel"/>
    <w:tmpl w:val="FEBE864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7970172E"/>
    <w:multiLevelType w:val="hybridMultilevel"/>
    <w:tmpl w:val="CCF0B6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4"/>
  </w:num>
  <w:num w:numId="3">
    <w:abstractNumId w:val="25"/>
  </w:num>
  <w:num w:numId="4">
    <w:abstractNumId w:val="26"/>
  </w:num>
  <w:num w:numId="5">
    <w:abstractNumId w:val="5"/>
  </w:num>
  <w:num w:numId="6">
    <w:abstractNumId w:val="15"/>
  </w:num>
  <w:num w:numId="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1"/>
  </w:num>
  <w:num w:numId="9">
    <w:abstractNumId w:val="12"/>
  </w:num>
  <w:num w:numId="10">
    <w:abstractNumId w:val="4"/>
  </w:num>
  <w:num w:numId="11">
    <w:abstractNumId w:val="2"/>
  </w:num>
  <w:num w:numId="12">
    <w:abstractNumId w:val="13"/>
  </w:num>
  <w:num w:numId="13">
    <w:abstractNumId w:val="6"/>
  </w:num>
  <w:num w:numId="14">
    <w:abstractNumId w:val="22"/>
  </w:num>
  <w:num w:numId="15">
    <w:abstractNumId w:val="31"/>
  </w:num>
  <w:num w:numId="16">
    <w:abstractNumId w:val="20"/>
  </w:num>
  <w:num w:numId="17">
    <w:abstractNumId w:val="21"/>
  </w:num>
  <w:num w:numId="18">
    <w:abstractNumId w:val="27"/>
  </w:num>
  <w:num w:numId="19">
    <w:abstractNumId w:val="7"/>
  </w:num>
  <w:num w:numId="20">
    <w:abstractNumId w:val="1"/>
  </w:num>
  <w:num w:numId="21">
    <w:abstractNumId w:val="14"/>
  </w:num>
  <w:num w:numId="22">
    <w:abstractNumId w:val="0"/>
  </w:num>
  <w:num w:numId="23">
    <w:abstractNumId w:val="28"/>
  </w:num>
  <w:num w:numId="24">
    <w:abstractNumId w:val="16"/>
  </w:num>
  <w:num w:numId="25">
    <w:abstractNumId w:val="17"/>
  </w:num>
  <w:num w:numId="26">
    <w:abstractNumId w:val="19"/>
  </w:num>
  <w:num w:numId="27">
    <w:abstractNumId w:val="8"/>
  </w:num>
  <w:num w:numId="28">
    <w:abstractNumId w:val="9"/>
  </w:num>
  <w:num w:numId="29">
    <w:abstractNumId w:val="10"/>
  </w:num>
  <w:num w:numId="30">
    <w:abstractNumId w:val="30"/>
  </w:num>
  <w:num w:numId="31">
    <w:abstractNumId w:val="3"/>
  </w:num>
  <w:num w:numId="32">
    <w:abstractNumId w:val="29"/>
  </w:num>
  <w:num w:numId="33">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s-MX" w:vendorID="64" w:dllVersion="131078" w:nlCheck="1" w:checkStyle="1"/>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264B"/>
    <w:rsid w:val="00003BF2"/>
    <w:rsid w:val="00011E5E"/>
    <w:rsid w:val="000155CD"/>
    <w:rsid w:val="000163E2"/>
    <w:rsid w:val="00017DF0"/>
    <w:rsid w:val="00022FDF"/>
    <w:rsid w:val="00023AD2"/>
    <w:rsid w:val="00024B36"/>
    <w:rsid w:val="00024F45"/>
    <w:rsid w:val="000269B8"/>
    <w:rsid w:val="00032ABD"/>
    <w:rsid w:val="00033751"/>
    <w:rsid w:val="00034788"/>
    <w:rsid w:val="000354B7"/>
    <w:rsid w:val="00040F0E"/>
    <w:rsid w:val="0004258A"/>
    <w:rsid w:val="00050452"/>
    <w:rsid w:val="000510A8"/>
    <w:rsid w:val="000553C0"/>
    <w:rsid w:val="00057DB2"/>
    <w:rsid w:val="00074B1D"/>
    <w:rsid w:val="00077FFE"/>
    <w:rsid w:val="0008369C"/>
    <w:rsid w:val="00083ECB"/>
    <w:rsid w:val="0008542A"/>
    <w:rsid w:val="0008721B"/>
    <w:rsid w:val="00087A2F"/>
    <w:rsid w:val="00093178"/>
    <w:rsid w:val="00095321"/>
    <w:rsid w:val="00095705"/>
    <w:rsid w:val="0009723E"/>
    <w:rsid w:val="000A08C8"/>
    <w:rsid w:val="000A0962"/>
    <w:rsid w:val="000A2FF7"/>
    <w:rsid w:val="000A3837"/>
    <w:rsid w:val="000B039F"/>
    <w:rsid w:val="000B13A6"/>
    <w:rsid w:val="000B3FFD"/>
    <w:rsid w:val="000B4125"/>
    <w:rsid w:val="000C09F2"/>
    <w:rsid w:val="000C4453"/>
    <w:rsid w:val="000C5510"/>
    <w:rsid w:val="000D03CC"/>
    <w:rsid w:val="000D3810"/>
    <w:rsid w:val="000D4C17"/>
    <w:rsid w:val="000D67CD"/>
    <w:rsid w:val="000D724C"/>
    <w:rsid w:val="000D79C6"/>
    <w:rsid w:val="000E7E61"/>
    <w:rsid w:val="00104B86"/>
    <w:rsid w:val="001207A1"/>
    <w:rsid w:val="001228E4"/>
    <w:rsid w:val="00123129"/>
    <w:rsid w:val="00125FE5"/>
    <w:rsid w:val="00127ADC"/>
    <w:rsid w:val="00132B14"/>
    <w:rsid w:val="001349E5"/>
    <w:rsid w:val="001451D4"/>
    <w:rsid w:val="001535F7"/>
    <w:rsid w:val="00170A94"/>
    <w:rsid w:val="0017377B"/>
    <w:rsid w:val="001768EC"/>
    <w:rsid w:val="0018142C"/>
    <w:rsid w:val="00185C15"/>
    <w:rsid w:val="001A42A5"/>
    <w:rsid w:val="001A4B7F"/>
    <w:rsid w:val="001B3B81"/>
    <w:rsid w:val="001B78B8"/>
    <w:rsid w:val="001C2EB6"/>
    <w:rsid w:val="001D0AC5"/>
    <w:rsid w:val="001D326B"/>
    <w:rsid w:val="001D32E7"/>
    <w:rsid w:val="001D3FAD"/>
    <w:rsid w:val="001D6C25"/>
    <w:rsid w:val="001D7F08"/>
    <w:rsid w:val="001F6EBB"/>
    <w:rsid w:val="001F7CE2"/>
    <w:rsid w:val="00204F18"/>
    <w:rsid w:val="00207AA2"/>
    <w:rsid w:val="00211FD9"/>
    <w:rsid w:val="00212091"/>
    <w:rsid w:val="00214089"/>
    <w:rsid w:val="00220958"/>
    <w:rsid w:val="0022457B"/>
    <w:rsid w:val="002257C9"/>
    <w:rsid w:val="002271FE"/>
    <w:rsid w:val="0023264F"/>
    <w:rsid w:val="00233AF5"/>
    <w:rsid w:val="00237145"/>
    <w:rsid w:val="00241AF5"/>
    <w:rsid w:val="00245B2F"/>
    <w:rsid w:val="00250AAE"/>
    <w:rsid w:val="002518A3"/>
    <w:rsid w:val="002557B0"/>
    <w:rsid w:val="002637BE"/>
    <w:rsid w:val="0026637C"/>
    <w:rsid w:val="00271499"/>
    <w:rsid w:val="00274BAA"/>
    <w:rsid w:val="002778B3"/>
    <w:rsid w:val="00282CC3"/>
    <w:rsid w:val="00291395"/>
    <w:rsid w:val="00294399"/>
    <w:rsid w:val="00295FE3"/>
    <w:rsid w:val="002966BC"/>
    <w:rsid w:val="002B3FCD"/>
    <w:rsid w:val="002B58AE"/>
    <w:rsid w:val="002C00C9"/>
    <w:rsid w:val="002C1E47"/>
    <w:rsid w:val="002C5825"/>
    <w:rsid w:val="002C6154"/>
    <w:rsid w:val="002D09B9"/>
    <w:rsid w:val="002D283C"/>
    <w:rsid w:val="002D4071"/>
    <w:rsid w:val="002D71B6"/>
    <w:rsid w:val="002E195D"/>
    <w:rsid w:val="002F0603"/>
    <w:rsid w:val="002F519D"/>
    <w:rsid w:val="00307F9F"/>
    <w:rsid w:val="00310277"/>
    <w:rsid w:val="00314C57"/>
    <w:rsid w:val="0031526D"/>
    <w:rsid w:val="003337D6"/>
    <w:rsid w:val="00340F8B"/>
    <w:rsid w:val="0035790D"/>
    <w:rsid w:val="00361583"/>
    <w:rsid w:val="00363F80"/>
    <w:rsid w:val="003723EF"/>
    <w:rsid w:val="00373004"/>
    <w:rsid w:val="00373105"/>
    <w:rsid w:val="00381102"/>
    <w:rsid w:val="0038406B"/>
    <w:rsid w:val="00387CDA"/>
    <w:rsid w:val="003A5633"/>
    <w:rsid w:val="003A6922"/>
    <w:rsid w:val="003B2085"/>
    <w:rsid w:val="003B47EC"/>
    <w:rsid w:val="003B5FBE"/>
    <w:rsid w:val="003C2028"/>
    <w:rsid w:val="003C2B46"/>
    <w:rsid w:val="003D09E0"/>
    <w:rsid w:val="003D0DD8"/>
    <w:rsid w:val="003D23F0"/>
    <w:rsid w:val="003D6C21"/>
    <w:rsid w:val="003E1CBE"/>
    <w:rsid w:val="003E3E6C"/>
    <w:rsid w:val="003F517B"/>
    <w:rsid w:val="003F518A"/>
    <w:rsid w:val="003F6E73"/>
    <w:rsid w:val="003F7016"/>
    <w:rsid w:val="003F7C99"/>
    <w:rsid w:val="00400887"/>
    <w:rsid w:val="004015B6"/>
    <w:rsid w:val="004053D4"/>
    <w:rsid w:val="00405470"/>
    <w:rsid w:val="004166F0"/>
    <w:rsid w:val="00426456"/>
    <w:rsid w:val="00434DDA"/>
    <w:rsid w:val="00437354"/>
    <w:rsid w:val="004375FF"/>
    <w:rsid w:val="00440002"/>
    <w:rsid w:val="00440FFE"/>
    <w:rsid w:val="004429D9"/>
    <w:rsid w:val="0044547C"/>
    <w:rsid w:val="00447FFE"/>
    <w:rsid w:val="004509FD"/>
    <w:rsid w:val="004515B0"/>
    <w:rsid w:val="004679BC"/>
    <w:rsid w:val="00472B24"/>
    <w:rsid w:val="00477677"/>
    <w:rsid w:val="004821AA"/>
    <w:rsid w:val="004835E2"/>
    <w:rsid w:val="004848E1"/>
    <w:rsid w:val="00486F32"/>
    <w:rsid w:val="00487F15"/>
    <w:rsid w:val="004952DF"/>
    <w:rsid w:val="004959AA"/>
    <w:rsid w:val="0049704F"/>
    <w:rsid w:val="004A16A1"/>
    <w:rsid w:val="004B2558"/>
    <w:rsid w:val="004B3922"/>
    <w:rsid w:val="004B5C83"/>
    <w:rsid w:val="004C3FDC"/>
    <w:rsid w:val="004D0A26"/>
    <w:rsid w:val="004D55D8"/>
    <w:rsid w:val="004F2CE5"/>
    <w:rsid w:val="004F33CE"/>
    <w:rsid w:val="004F4C48"/>
    <w:rsid w:val="00502375"/>
    <w:rsid w:val="005106D8"/>
    <w:rsid w:val="00512C40"/>
    <w:rsid w:val="005139B0"/>
    <w:rsid w:val="0051424D"/>
    <w:rsid w:val="00526049"/>
    <w:rsid w:val="00532DA4"/>
    <w:rsid w:val="005345A1"/>
    <w:rsid w:val="0053491B"/>
    <w:rsid w:val="00534EA0"/>
    <w:rsid w:val="00535885"/>
    <w:rsid w:val="00540664"/>
    <w:rsid w:val="00541DB4"/>
    <w:rsid w:val="00542066"/>
    <w:rsid w:val="00554330"/>
    <w:rsid w:val="00556400"/>
    <w:rsid w:val="00566ABE"/>
    <w:rsid w:val="00582AA6"/>
    <w:rsid w:val="00586625"/>
    <w:rsid w:val="005937AE"/>
    <w:rsid w:val="005946A8"/>
    <w:rsid w:val="00596E80"/>
    <w:rsid w:val="005A25CE"/>
    <w:rsid w:val="005A3CDA"/>
    <w:rsid w:val="005B00D9"/>
    <w:rsid w:val="005C3478"/>
    <w:rsid w:val="005C4C2A"/>
    <w:rsid w:val="005D09E6"/>
    <w:rsid w:val="005D1830"/>
    <w:rsid w:val="005D69A9"/>
    <w:rsid w:val="005E292A"/>
    <w:rsid w:val="005E45D7"/>
    <w:rsid w:val="005E79AC"/>
    <w:rsid w:val="005F64F6"/>
    <w:rsid w:val="00600758"/>
    <w:rsid w:val="00610DBC"/>
    <w:rsid w:val="0061151C"/>
    <w:rsid w:val="00611D42"/>
    <w:rsid w:val="00613434"/>
    <w:rsid w:val="00620675"/>
    <w:rsid w:val="00623957"/>
    <w:rsid w:val="00624C3D"/>
    <w:rsid w:val="00625EC3"/>
    <w:rsid w:val="00634485"/>
    <w:rsid w:val="006366CA"/>
    <w:rsid w:val="00644CB2"/>
    <w:rsid w:val="00650B6E"/>
    <w:rsid w:val="00653B1B"/>
    <w:rsid w:val="00654BAB"/>
    <w:rsid w:val="00662A63"/>
    <w:rsid w:val="006661B5"/>
    <w:rsid w:val="00670DB1"/>
    <w:rsid w:val="006727CB"/>
    <w:rsid w:val="00675621"/>
    <w:rsid w:val="00677228"/>
    <w:rsid w:val="00682EFD"/>
    <w:rsid w:val="00683AEA"/>
    <w:rsid w:val="00683FC0"/>
    <w:rsid w:val="00686A8A"/>
    <w:rsid w:val="00687641"/>
    <w:rsid w:val="006914C6"/>
    <w:rsid w:val="006A005B"/>
    <w:rsid w:val="006A0D5D"/>
    <w:rsid w:val="006A142E"/>
    <w:rsid w:val="006A29ED"/>
    <w:rsid w:val="006A51E5"/>
    <w:rsid w:val="006A76CA"/>
    <w:rsid w:val="006C25BF"/>
    <w:rsid w:val="006C531D"/>
    <w:rsid w:val="006C5F4D"/>
    <w:rsid w:val="006D2126"/>
    <w:rsid w:val="006D41F1"/>
    <w:rsid w:val="006D5658"/>
    <w:rsid w:val="006E481D"/>
    <w:rsid w:val="006E5550"/>
    <w:rsid w:val="006E6389"/>
    <w:rsid w:val="006E7492"/>
    <w:rsid w:val="006F30F8"/>
    <w:rsid w:val="00702929"/>
    <w:rsid w:val="00703AE8"/>
    <w:rsid w:val="007041AA"/>
    <w:rsid w:val="007066D9"/>
    <w:rsid w:val="00707AD2"/>
    <w:rsid w:val="00721CA6"/>
    <w:rsid w:val="00721CFB"/>
    <w:rsid w:val="007222E4"/>
    <w:rsid w:val="00723CB5"/>
    <w:rsid w:val="00723CBA"/>
    <w:rsid w:val="007246B2"/>
    <w:rsid w:val="007277CE"/>
    <w:rsid w:val="00732E21"/>
    <w:rsid w:val="00735E7C"/>
    <w:rsid w:val="007362B8"/>
    <w:rsid w:val="00736C06"/>
    <w:rsid w:val="00736F9A"/>
    <w:rsid w:val="007414E9"/>
    <w:rsid w:val="007427C4"/>
    <w:rsid w:val="007434EC"/>
    <w:rsid w:val="0074367D"/>
    <w:rsid w:val="0074576C"/>
    <w:rsid w:val="007502D3"/>
    <w:rsid w:val="00756D1E"/>
    <w:rsid w:val="00760184"/>
    <w:rsid w:val="00762006"/>
    <w:rsid w:val="0077100D"/>
    <w:rsid w:val="0077203A"/>
    <w:rsid w:val="007757FD"/>
    <w:rsid w:val="00780788"/>
    <w:rsid w:val="00783347"/>
    <w:rsid w:val="007844B7"/>
    <w:rsid w:val="00794102"/>
    <w:rsid w:val="0079666C"/>
    <w:rsid w:val="00797C80"/>
    <w:rsid w:val="007A291E"/>
    <w:rsid w:val="007A45F1"/>
    <w:rsid w:val="007A6F6B"/>
    <w:rsid w:val="007B3397"/>
    <w:rsid w:val="007C2F0A"/>
    <w:rsid w:val="007C3152"/>
    <w:rsid w:val="007C620F"/>
    <w:rsid w:val="007D469C"/>
    <w:rsid w:val="007D4DF2"/>
    <w:rsid w:val="007E0581"/>
    <w:rsid w:val="007E15B6"/>
    <w:rsid w:val="007E6AF0"/>
    <w:rsid w:val="007E70A4"/>
    <w:rsid w:val="007F10CD"/>
    <w:rsid w:val="007F3931"/>
    <w:rsid w:val="007F528B"/>
    <w:rsid w:val="007F57D3"/>
    <w:rsid w:val="007F68FF"/>
    <w:rsid w:val="008037D7"/>
    <w:rsid w:val="0080527F"/>
    <w:rsid w:val="008055CD"/>
    <w:rsid w:val="00807DA0"/>
    <w:rsid w:val="00816040"/>
    <w:rsid w:val="00823970"/>
    <w:rsid w:val="00824BC2"/>
    <w:rsid w:val="008331EF"/>
    <w:rsid w:val="00833BE6"/>
    <w:rsid w:val="008368DA"/>
    <w:rsid w:val="00841289"/>
    <w:rsid w:val="008445FE"/>
    <w:rsid w:val="00845218"/>
    <w:rsid w:val="0084783A"/>
    <w:rsid w:val="00853688"/>
    <w:rsid w:val="00856B2F"/>
    <w:rsid w:val="008603A0"/>
    <w:rsid w:val="008627C6"/>
    <w:rsid w:val="00867416"/>
    <w:rsid w:val="008718F3"/>
    <w:rsid w:val="00872D2F"/>
    <w:rsid w:val="00875966"/>
    <w:rsid w:val="008830B1"/>
    <w:rsid w:val="008836A4"/>
    <w:rsid w:val="008850D3"/>
    <w:rsid w:val="008900BC"/>
    <w:rsid w:val="00892AFC"/>
    <w:rsid w:val="00892C12"/>
    <w:rsid w:val="00894D19"/>
    <w:rsid w:val="008A1111"/>
    <w:rsid w:val="008A12A6"/>
    <w:rsid w:val="008A5B69"/>
    <w:rsid w:val="008A7409"/>
    <w:rsid w:val="008B40A0"/>
    <w:rsid w:val="008B5CCD"/>
    <w:rsid w:val="008D1526"/>
    <w:rsid w:val="008D6F65"/>
    <w:rsid w:val="008D7793"/>
    <w:rsid w:val="008D799D"/>
    <w:rsid w:val="008E0F11"/>
    <w:rsid w:val="008E1C13"/>
    <w:rsid w:val="008F0E11"/>
    <w:rsid w:val="008F14B4"/>
    <w:rsid w:val="008F1D34"/>
    <w:rsid w:val="008F2A78"/>
    <w:rsid w:val="008F7408"/>
    <w:rsid w:val="009030B3"/>
    <w:rsid w:val="009034AE"/>
    <w:rsid w:val="009039DA"/>
    <w:rsid w:val="00904450"/>
    <w:rsid w:val="00905338"/>
    <w:rsid w:val="00907F4B"/>
    <w:rsid w:val="009123D4"/>
    <w:rsid w:val="00912970"/>
    <w:rsid w:val="00923F1A"/>
    <w:rsid w:val="0092616F"/>
    <w:rsid w:val="00930194"/>
    <w:rsid w:val="00932A78"/>
    <w:rsid w:val="00932C2B"/>
    <w:rsid w:val="00932E1E"/>
    <w:rsid w:val="0093429E"/>
    <w:rsid w:val="00935A0D"/>
    <w:rsid w:val="00937CB0"/>
    <w:rsid w:val="009408EA"/>
    <w:rsid w:val="00944CA2"/>
    <w:rsid w:val="00945197"/>
    <w:rsid w:val="009477CE"/>
    <w:rsid w:val="00951F83"/>
    <w:rsid w:val="00960259"/>
    <w:rsid w:val="00964140"/>
    <w:rsid w:val="00971EC5"/>
    <w:rsid w:val="00975EB9"/>
    <w:rsid w:val="009818FB"/>
    <w:rsid w:val="00981FE6"/>
    <w:rsid w:val="009904B5"/>
    <w:rsid w:val="009943CF"/>
    <w:rsid w:val="00996454"/>
    <w:rsid w:val="009A167A"/>
    <w:rsid w:val="009A43F2"/>
    <w:rsid w:val="009B6D28"/>
    <w:rsid w:val="009C15C8"/>
    <w:rsid w:val="009D1A27"/>
    <w:rsid w:val="009D20D6"/>
    <w:rsid w:val="009D47D9"/>
    <w:rsid w:val="009D4854"/>
    <w:rsid w:val="009D53D6"/>
    <w:rsid w:val="009E5176"/>
    <w:rsid w:val="009E6252"/>
    <w:rsid w:val="009F1BDC"/>
    <w:rsid w:val="009F2520"/>
    <w:rsid w:val="009F4883"/>
    <w:rsid w:val="009F6547"/>
    <w:rsid w:val="009F7402"/>
    <w:rsid w:val="00A05184"/>
    <w:rsid w:val="00A1100B"/>
    <w:rsid w:val="00A15AAE"/>
    <w:rsid w:val="00A15D0C"/>
    <w:rsid w:val="00A167EA"/>
    <w:rsid w:val="00A17355"/>
    <w:rsid w:val="00A20D3D"/>
    <w:rsid w:val="00A26E74"/>
    <w:rsid w:val="00A31AAC"/>
    <w:rsid w:val="00A34CB7"/>
    <w:rsid w:val="00A3567B"/>
    <w:rsid w:val="00A36E2F"/>
    <w:rsid w:val="00A37503"/>
    <w:rsid w:val="00A402BA"/>
    <w:rsid w:val="00A50C0A"/>
    <w:rsid w:val="00A613DF"/>
    <w:rsid w:val="00A72893"/>
    <w:rsid w:val="00A7514F"/>
    <w:rsid w:val="00A756C9"/>
    <w:rsid w:val="00A80516"/>
    <w:rsid w:val="00A81140"/>
    <w:rsid w:val="00A83BB5"/>
    <w:rsid w:val="00A864CA"/>
    <w:rsid w:val="00A90DA1"/>
    <w:rsid w:val="00A97DE7"/>
    <w:rsid w:val="00AA37EE"/>
    <w:rsid w:val="00AA3971"/>
    <w:rsid w:val="00AB0F6C"/>
    <w:rsid w:val="00AB1159"/>
    <w:rsid w:val="00AC4122"/>
    <w:rsid w:val="00AC51A6"/>
    <w:rsid w:val="00AC6069"/>
    <w:rsid w:val="00AC63F7"/>
    <w:rsid w:val="00AD16C7"/>
    <w:rsid w:val="00AD375E"/>
    <w:rsid w:val="00AD3B27"/>
    <w:rsid w:val="00AD6FF1"/>
    <w:rsid w:val="00AE13DF"/>
    <w:rsid w:val="00AF0B3B"/>
    <w:rsid w:val="00B032E6"/>
    <w:rsid w:val="00B10540"/>
    <w:rsid w:val="00B1227C"/>
    <w:rsid w:val="00B17E2B"/>
    <w:rsid w:val="00B22C70"/>
    <w:rsid w:val="00B23F1B"/>
    <w:rsid w:val="00B3035F"/>
    <w:rsid w:val="00B304D7"/>
    <w:rsid w:val="00B313F3"/>
    <w:rsid w:val="00B32C58"/>
    <w:rsid w:val="00B349B3"/>
    <w:rsid w:val="00B35909"/>
    <w:rsid w:val="00B363B4"/>
    <w:rsid w:val="00B440C1"/>
    <w:rsid w:val="00B47EA4"/>
    <w:rsid w:val="00B51087"/>
    <w:rsid w:val="00B549B4"/>
    <w:rsid w:val="00B60EC8"/>
    <w:rsid w:val="00B61D04"/>
    <w:rsid w:val="00B6359C"/>
    <w:rsid w:val="00B71112"/>
    <w:rsid w:val="00B716BC"/>
    <w:rsid w:val="00B7235C"/>
    <w:rsid w:val="00B73DA7"/>
    <w:rsid w:val="00B7428C"/>
    <w:rsid w:val="00B75667"/>
    <w:rsid w:val="00B81B24"/>
    <w:rsid w:val="00B86D3E"/>
    <w:rsid w:val="00B958C9"/>
    <w:rsid w:val="00BA16F5"/>
    <w:rsid w:val="00BA2369"/>
    <w:rsid w:val="00BA23CB"/>
    <w:rsid w:val="00BB7AB5"/>
    <w:rsid w:val="00BC6B3D"/>
    <w:rsid w:val="00BC6B6B"/>
    <w:rsid w:val="00BC7FE9"/>
    <w:rsid w:val="00BD35B9"/>
    <w:rsid w:val="00BD49BC"/>
    <w:rsid w:val="00BD7483"/>
    <w:rsid w:val="00BE0A35"/>
    <w:rsid w:val="00BE511B"/>
    <w:rsid w:val="00BE7AEE"/>
    <w:rsid w:val="00BF39D7"/>
    <w:rsid w:val="00BF5810"/>
    <w:rsid w:val="00BF6728"/>
    <w:rsid w:val="00BF7463"/>
    <w:rsid w:val="00C00A78"/>
    <w:rsid w:val="00C02906"/>
    <w:rsid w:val="00C04E6A"/>
    <w:rsid w:val="00C05015"/>
    <w:rsid w:val="00C05411"/>
    <w:rsid w:val="00C054F8"/>
    <w:rsid w:val="00C1582F"/>
    <w:rsid w:val="00C21464"/>
    <w:rsid w:val="00C240DC"/>
    <w:rsid w:val="00C2750E"/>
    <w:rsid w:val="00C325CB"/>
    <w:rsid w:val="00C37876"/>
    <w:rsid w:val="00C42946"/>
    <w:rsid w:val="00C46442"/>
    <w:rsid w:val="00C47D1B"/>
    <w:rsid w:val="00C503FF"/>
    <w:rsid w:val="00C50B5C"/>
    <w:rsid w:val="00C570A4"/>
    <w:rsid w:val="00C60714"/>
    <w:rsid w:val="00C630E9"/>
    <w:rsid w:val="00C657AA"/>
    <w:rsid w:val="00C65AE1"/>
    <w:rsid w:val="00C7062D"/>
    <w:rsid w:val="00C73277"/>
    <w:rsid w:val="00C732A3"/>
    <w:rsid w:val="00C80F8C"/>
    <w:rsid w:val="00C82907"/>
    <w:rsid w:val="00C86856"/>
    <w:rsid w:val="00C87501"/>
    <w:rsid w:val="00C90A66"/>
    <w:rsid w:val="00C919C6"/>
    <w:rsid w:val="00C9224E"/>
    <w:rsid w:val="00C93DE8"/>
    <w:rsid w:val="00C948EC"/>
    <w:rsid w:val="00C94EA7"/>
    <w:rsid w:val="00CA3FF0"/>
    <w:rsid w:val="00CB18E5"/>
    <w:rsid w:val="00CB667C"/>
    <w:rsid w:val="00CB7A1D"/>
    <w:rsid w:val="00CC1AB2"/>
    <w:rsid w:val="00CC5A3D"/>
    <w:rsid w:val="00CC7863"/>
    <w:rsid w:val="00CC7CEB"/>
    <w:rsid w:val="00CE092E"/>
    <w:rsid w:val="00CE2D9B"/>
    <w:rsid w:val="00CE6F54"/>
    <w:rsid w:val="00CE70EC"/>
    <w:rsid w:val="00CF694D"/>
    <w:rsid w:val="00CF6F15"/>
    <w:rsid w:val="00D0190F"/>
    <w:rsid w:val="00D02553"/>
    <w:rsid w:val="00D06C4C"/>
    <w:rsid w:val="00D2768D"/>
    <w:rsid w:val="00D27FE6"/>
    <w:rsid w:val="00D303BD"/>
    <w:rsid w:val="00D30908"/>
    <w:rsid w:val="00D31EE2"/>
    <w:rsid w:val="00D320AD"/>
    <w:rsid w:val="00D32255"/>
    <w:rsid w:val="00D3664A"/>
    <w:rsid w:val="00D4140B"/>
    <w:rsid w:val="00D41E30"/>
    <w:rsid w:val="00D44D22"/>
    <w:rsid w:val="00D51E79"/>
    <w:rsid w:val="00D52D35"/>
    <w:rsid w:val="00D56842"/>
    <w:rsid w:val="00D649BF"/>
    <w:rsid w:val="00D70F8F"/>
    <w:rsid w:val="00D727F5"/>
    <w:rsid w:val="00D73F0C"/>
    <w:rsid w:val="00D8519B"/>
    <w:rsid w:val="00D93C93"/>
    <w:rsid w:val="00D941B6"/>
    <w:rsid w:val="00DA2F34"/>
    <w:rsid w:val="00DA6FBC"/>
    <w:rsid w:val="00DB2289"/>
    <w:rsid w:val="00DB25DA"/>
    <w:rsid w:val="00DB7502"/>
    <w:rsid w:val="00DC04FB"/>
    <w:rsid w:val="00DC152E"/>
    <w:rsid w:val="00DD35F7"/>
    <w:rsid w:val="00DD43B7"/>
    <w:rsid w:val="00DE093E"/>
    <w:rsid w:val="00DE0BC1"/>
    <w:rsid w:val="00DE0EAA"/>
    <w:rsid w:val="00DE356D"/>
    <w:rsid w:val="00DE35C4"/>
    <w:rsid w:val="00DE413F"/>
    <w:rsid w:val="00DE4EE6"/>
    <w:rsid w:val="00DF1348"/>
    <w:rsid w:val="00DF560E"/>
    <w:rsid w:val="00DF5717"/>
    <w:rsid w:val="00E022CF"/>
    <w:rsid w:val="00E0270A"/>
    <w:rsid w:val="00E057D5"/>
    <w:rsid w:val="00E0580A"/>
    <w:rsid w:val="00E208FE"/>
    <w:rsid w:val="00E20CF8"/>
    <w:rsid w:val="00E2114C"/>
    <w:rsid w:val="00E211E7"/>
    <w:rsid w:val="00E23577"/>
    <w:rsid w:val="00E23591"/>
    <w:rsid w:val="00E25F4B"/>
    <w:rsid w:val="00E33558"/>
    <w:rsid w:val="00E3365D"/>
    <w:rsid w:val="00E46B1A"/>
    <w:rsid w:val="00E47495"/>
    <w:rsid w:val="00E60788"/>
    <w:rsid w:val="00E61D2B"/>
    <w:rsid w:val="00E6215E"/>
    <w:rsid w:val="00E62919"/>
    <w:rsid w:val="00E67F4F"/>
    <w:rsid w:val="00E721DB"/>
    <w:rsid w:val="00E73BE5"/>
    <w:rsid w:val="00E75696"/>
    <w:rsid w:val="00E76579"/>
    <w:rsid w:val="00E81F5B"/>
    <w:rsid w:val="00E825EF"/>
    <w:rsid w:val="00E84926"/>
    <w:rsid w:val="00E86E4F"/>
    <w:rsid w:val="00E91A0F"/>
    <w:rsid w:val="00E923BF"/>
    <w:rsid w:val="00EA0CA7"/>
    <w:rsid w:val="00EA1C49"/>
    <w:rsid w:val="00EA30D2"/>
    <w:rsid w:val="00EA7010"/>
    <w:rsid w:val="00EA7D84"/>
    <w:rsid w:val="00EB44A9"/>
    <w:rsid w:val="00EB6169"/>
    <w:rsid w:val="00EC1B58"/>
    <w:rsid w:val="00EC320F"/>
    <w:rsid w:val="00ED021F"/>
    <w:rsid w:val="00ED5E54"/>
    <w:rsid w:val="00EE061E"/>
    <w:rsid w:val="00EE34A5"/>
    <w:rsid w:val="00EE3C28"/>
    <w:rsid w:val="00EE45D5"/>
    <w:rsid w:val="00EF4435"/>
    <w:rsid w:val="00EF4FB3"/>
    <w:rsid w:val="00F105CE"/>
    <w:rsid w:val="00F11050"/>
    <w:rsid w:val="00F170D7"/>
    <w:rsid w:val="00F17900"/>
    <w:rsid w:val="00F26088"/>
    <w:rsid w:val="00F2707A"/>
    <w:rsid w:val="00F27DF1"/>
    <w:rsid w:val="00F33D7B"/>
    <w:rsid w:val="00F36EF4"/>
    <w:rsid w:val="00F40644"/>
    <w:rsid w:val="00F43992"/>
    <w:rsid w:val="00F43B1C"/>
    <w:rsid w:val="00F43D83"/>
    <w:rsid w:val="00F508F5"/>
    <w:rsid w:val="00F51770"/>
    <w:rsid w:val="00F56BDA"/>
    <w:rsid w:val="00F575E0"/>
    <w:rsid w:val="00F60196"/>
    <w:rsid w:val="00F7272D"/>
    <w:rsid w:val="00F758F1"/>
    <w:rsid w:val="00F7750F"/>
    <w:rsid w:val="00F801EF"/>
    <w:rsid w:val="00F80DBC"/>
    <w:rsid w:val="00F83889"/>
    <w:rsid w:val="00F849AE"/>
    <w:rsid w:val="00F86EA3"/>
    <w:rsid w:val="00F8725E"/>
    <w:rsid w:val="00F87384"/>
    <w:rsid w:val="00F96B3E"/>
    <w:rsid w:val="00FA62D8"/>
    <w:rsid w:val="00FB48D6"/>
    <w:rsid w:val="00FB5BDB"/>
    <w:rsid w:val="00FC137D"/>
    <w:rsid w:val="00FC1DB3"/>
    <w:rsid w:val="00FC46F5"/>
    <w:rsid w:val="00FD28A7"/>
    <w:rsid w:val="00FD4FB4"/>
    <w:rsid w:val="00FD5D36"/>
    <w:rsid w:val="00FE3AE9"/>
    <w:rsid w:val="00FE5326"/>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E8CC70D"/>
  <w15:docId w15:val="{98E54C7F-2943-430F-91F5-C229156D94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80F8C"/>
    <w:rPr>
      <w:rFonts w:ascii="Times New Roman" w:eastAsia="Times New Roman" w:hAnsi="Times New Roman" w:cs="Times New Roman"/>
      <w:lang w:val="es-ES"/>
    </w:rPr>
  </w:style>
  <w:style w:type="paragraph" w:styleId="Ttulo1">
    <w:name w:val="heading 1"/>
    <w:basedOn w:val="Normal"/>
    <w:next w:val="Normal"/>
    <w:link w:val="Ttulo1Car"/>
    <w:uiPriority w:val="9"/>
    <w:qFormat/>
    <w:rsid w:val="00945197"/>
    <w:pPr>
      <w:keepNext/>
      <w:keepLines/>
      <w:spacing w:before="240" w:line="259" w:lineRule="auto"/>
      <w:outlineLvl w:val="0"/>
    </w:pPr>
    <w:rPr>
      <w:rFonts w:asciiTheme="majorHAnsi" w:eastAsiaTheme="majorEastAsia" w:hAnsiTheme="majorHAnsi" w:cstheme="majorBidi"/>
      <w:color w:val="365F91" w:themeColor="accent1" w:themeShade="BF"/>
      <w:sz w:val="32"/>
      <w:szCs w:val="32"/>
      <w:lang w:val="es-MX" w:eastAsia="en-US"/>
    </w:rPr>
  </w:style>
  <w:style w:type="paragraph" w:styleId="Ttulo2">
    <w:name w:val="heading 2"/>
    <w:basedOn w:val="Normal"/>
    <w:next w:val="Normal"/>
    <w:link w:val="Ttulo2Car"/>
    <w:uiPriority w:val="9"/>
    <w:unhideWhenUsed/>
    <w:qFormat/>
    <w:rsid w:val="00945197"/>
    <w:pPr>
      <w:keepNext/>
      <w:keepLines/>
      <w:spacing w:before="40" w:line="259" w:lineRule="auto"/>
      <w:outlineLvl w:val="1"/>
    </w:pPr>
    <w:rPr>
      <w:rFonts w:asciiTheme="majorHAnsi" w:eastAsiaTheme="majorEastAsia" w:hAnsiTheme="majorHAnsi" w:cstheme="majorBidi"/>
      <w:color w:val="365F91" w:themeColor="accent1" w:themeShade="BF"/>
      <w:sz w:val="26"/>
      <w:szCs w:val="26"/>
      <w:lang w:val="es-MX"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character" w:customStyle="1" w:styleId="PrrafodelistaCar">
    <w:name w:val="Párrafo de lista Car"/>
    <w:link w:val="Prrafodelista"/>
    <w:uiPriority w:val="72"/>
    <w:locked/>
    <w:rsid w:val="009D4854"/>
    <w:rPr>
      <w:rFonts w:ascii="Times New Roman" w:eastAsia="Times New Roman" w:hAnsi="Times New Roman" w:cs="Times New Roman"/>
      <w:lang w:val="es-ES"/>
    </w:rPr>
  </w:style>
  <w:style w:type="paragraph" w:styleId="Prrafodelista">
    <w:name w:val="List Paragraph"/>
    <w:basedOn w:val="Normal"/>
    <w:link w:val="PrrafodelistaCar"/>
    <w:uiPriority w:val="72"/>
    <w:qFormat/>
    <w:rsid w:val="009D4854"/>
    <w:pPr>
      <w:ind w:left="708"/>
    </w:pPr>
  </w:style>
  <w:style w:type="table" w:styleId="Tablaconcuadrcula">
    <w:name w:val="Table Grid"/>
    <w:basedOn w:val="Tablanormal"/>
    <w:uiPriority w:val="59"/>
    <w:rsid w:val="00087A2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rmaltextrun">
    <w:name w:val="normaltextrun"/>
    <w:basedOn w:val="Fuentedeprrafopredeter"/>
    <w:rsid w:val="00087A2F"/>
  </w:style>
  <w:style w:type="character" w:customStyle="1" w:styleId="apple-converted-space">
    <w:name w:val="apple-converted-space"/>
    <w:basedOn w:val="Fuentedeprrafopredeter"/>
    <w:rsid w:val="00087A2F"/>
  </w:style>
  <w:style w:type="paragraph" w:customStyle="1" w:styleId="paragraph">
    <w:name w:val="paragraph"/>
    <w:basedOn w:val="Normal"/>
    <w:rsid w:val="00087A2F"/>
    <w:pPr>
      <w:spacing w:before="100" w:beforeAutospacing="1" w:after="100" w:afterAutospacing="1"/>
    </w:pPr>
    <w:rPr>
      <w:lang w:val="es-MX" w:eastAsia="es-MX"/>
    </w:rPr>
  </w:style>
  <w:style w:type="character" w:customStyle="1" w:styleId="eop">
    <w:name w:val="eop"/>
    <w:basedOn w:val="Fuentedeprrafopredeter"/>
    <w:rsid w:val="00087A2F"/>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087A2F"/>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087A2F"/>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rsid w:val="00087A2F"/>
    <w:rPr>
      <w:vertAlign w:val="superscript"/>
    </w:rPr>
  </w:style>
  <w:style w:type="character" w:styleId="Hipervnculo">
    <w:name w:val="Hyperlink"/>
    <w:basedOn w:val="Fuentedeprrafopredeter"/>
    <w:uiPriority w:val="99"/>
    <w:unhideWhenUsed/>
    <w:rsid w:val="00087A2F"/>
    <w:rPr>
      <w:color w:val="0000FF" w:themeColor="hyperlink"/>
      <w:u w:val="single"/>
    </w:rPr>
  </w:style>
  <w:style w:type="paragraph" w:customStyle="1" w:styleId="Default">
    <w:name w:val="Default"/>
    <w:rsid w:val="00087A2F"/>
    <w:pPr>
      <w:autoSpaceDE w:val="0"/>
      <w:autoSpaceDN w:val="0"/>
      <w:adjustRightInd w:val="0"/>
    </w:pPr>
    <w:rPr>
      <w:rFonts w:ascii="Arial" w:eastAsiaTheme="minorHAnsi" w:hAnsi="Arial" w:cs="Arial"/>
      <w:color w:val="000000"/>
      <w:lang w:val="es-MX" w:eastAsia="en-US"/>
    </w:rPr>
  </w:style>
  <w:style w:type="paragraph" w:styleId="NormalWeb">
    <w:name w:val="Normal (Web)"/>
    <w:basedOn w:val="Normal"/>
    <w:uiPriority w:val="99"/>
    <w:unhideWhenUsed/>
    <w:rsid w:val="00C657AA"/>
    <w:pPr>
      <w:spacing w:before="100" w:beforeAutospacing="1" w:after="100" w:afterAutospacing="1"/>
    </w:pPr>
    <w:rPr>
      <w:lang w:val="es-MX" w:eastAsia="es-MX"/>
    </w:rPr>
  </w:style>
  <w:style w:type="character" w:customStyle="1" w:styleId="Ttulo1Car">
    <w:name w:val="Título 1 Car"/>
    <w:basedOn w:val="Fuentedeprrafopredeter"/>
    <w:link w:val="Ttulo1"/>
    <w:uiPriority w:val="9"/>
    <w:rsid w:val="00945197"/>
    <w:rPr>
      <w:rFonts w:asciiTheme="majorHAnsi" w:eastAsiaTheme="majorEastAsia" w:hAnsiTheme="majorHAnsi" w:cstheme="majorBidi"/>
      <w:color w:val="365F91" w:themeColor="accent1" w:themeShade="BF"/>
      <w:sz w:val="32"/>
      <w:szCs w:val="32"/>
      <w:lang w:val="es-MX" w:eastAsia="en-US"/>
    </w:rPr>
  </w:style>
  <w:style w:type="character" w:customStyle="1" w:styleId="Ttulo2Car">
    <w:name w:val="Título 2 Car"/>
    <w:basedOn w:val="Fuentedeprrafopredeter"/>
    <w:link w:val="Ttulo2"/>
    <w:uiPriority w:val="9"/>
    <w:rsid w:val="00945197"/>
    <w:rPr>
      <w:rFonts w:asciiTheme="majorHAnsi" w:eastAsiaTheme="majorEastAsia" w:hAnsiTheme="majorHAnsi" w:cstheme="majorBidi"/>
      <w:color w:val="365F91" w:themeColor="accent1" w:themeShade="BF"/>
      <w:sz w:val="26"/>
      <w:szCs w:val="26"/>
      <w:lang w:val="es-MX" w:eastAsia="en-US"/>
    </w:rPr>
  </w:style>
  <w:style w:type="paragraph" w:customStyle="1" w:styleId="Texto">
    <w:name w:val="Texto"/>
    <w:basedOn w:val="Normal"/>
    <w:rsid w:val="00945197"/>
    <w:pPr>
      <w:spacing w:after="101" w:line="216" w:lineRule="exact"/>
      <w:ind w:firstLine="288"/>
      <w:jc w:val="both"/>
    </w:pPr>
    <w:rPr>
      <w:rFonts w:ascii="Arial" w:hAnsi="Arial" w:cs="Arial"/>
      <w:sz w:val="18"/>
      <w:szCs w:val="18"/>
      <w:lang w:val="es-MX"/>
    </w:rPr>
  </w:style>
  <w:style w:type="paragraph" w:styleId="Lista">
    <w:name w:val="List"/>
    <w:basedOn w:val="Normal"/>
    <w:uiPriority w:val="99"/>
    <w:unhideWhenUsed/>
    <w:rsid w:val="00945197"/>
    <w:pPr>
      <w:spacing w:after="160" w:line="259" w:lineRule="auto"/>
      <w:ind w:left="283" w:hanging="283"/>
      <w:contextualSpacing/>
    </w:pPr>
    <w:rPr>
      <w:rFonts w:asciiTheme="minorHAnsi" w:eastAsiaTheme="minorHAnsi" w:hAnsiTheme="minorHAnsi" w:cstheme="minorBidi"/>
      <w:sz w:val="22"/>
      <w:szCs w:val="22"/>
      <w:lang w:val="es-MX" w:eastAsia="en-US"/>
    </w:rPr>
  </w:style>
  <w:style w:type="paragraph" w:styleId="Lista2">
    <w:name w:val="List 2"/>
    <w:basedOn w:val="Normal"/>
    <w:uiPriority w:val="99"/>
    <w:unhideWhenUsed/>
    <w:rsid w:val="00945197"/>
    <w:pPr>
      <w:spacing w:after="160" w:line="259" w:lineRule="auto"/>
      <w:ind w:left="566" w:hanging="283"/>
      <w:contextualSpacing/>
    </w:pPr>
    <w:rPr>
      <w:rFonts w:asciiTheme="minorHAnsi" w:eastAsiaTheme="minorHAnsi" w:hAnsiTheme="minorHAnsi" w:cstheme="minorBidi"/>
      <w:sz w:val="22"/>
      <w:szCs w:val="22"/>
      <w:lang w:val="es-MX" w:eastAsia="en-US"/>
    </w:rPr>
  </w:style>
  <w:style w:type="paragraph" w:styleId="Lista3">
    <w:name w:val="List 3"/>
    <w:basedOn w:val="Normal"/>
    <w:uiPriority w:val="99"/>
    <w:unhideWhenUsed/>
    <w:rsid w:val="00945197"/>
    <w:pPr>
      <w:spacing w:after="160" w:line="259" w:lineRule="auto"/>
      <w:ind w:left="849" w:hanging="283"/>
      <w:contextualSpacing/>
    </w:pPr>
    <w:rPr>
      <w:rFonts w:asciiTheme="minorHAnsi" w:eastAsiaTheme="minorHAnsi" w:hAnsiTheme="minorHAnsi" w:cstheme="minorBidi"/>
      <w:sz w:val="22"/>
      <w:szCs w:val="22"/>
      <w:lang w:val="es-MX" w:eastAsia="en-US"/>
    </w:rPr>
  </w:style>
  <w:style w:type="paragraph" w:styleId="Continuarlista">
    <w:name w:val="List Continue"/>
    <w:basedOn w:val="Normal"/>
    <w:uiPriority w:val="99"/>
    <w:unhideWhenUsed/>
    <w:rsid w:val="00945197"/>
    <w:pPr>
      <w:spacing w:after="120" w:line="259" w:lineRule="auto"/>
      <w:ind w:left="283"/>
      <w:contextualSpacing/>
    </w:pPr>
    <w:rPr>
      <w:rFonts w:asciiTheme="minorHAnsi" w:eastAsiaTheme="minorHAnsi" w:hAnsiTheme="minorHAnsi" w:cstheme="minorBidi"/>
      <w:sz w:val="22"/>
      <w:szCs w:val="22"/>
      <w:lang w:val="es-MX" w:eastAsia="en-US"/>
    </w:rPr>
  </w:style>
  <w:style w:type="paragraph" w:styleId="Continuarlista2">
    <w:name w:val="List Continue 2"/>
    <w:basedOn w:val="Normal"/>
    <w:uiPriority w:val="99"/>
    <w:unhideWhenUsed/>
    <w:rsid w:val="00945197"/>
    <w:pPr>
      <w:spacing w:after="120" w:line="259" w:lineRule="auto"/>
      <w:ind w:left="566"/>
      <w:contextualSpacing/>
    </w:pPr>
    <w:rPr>
      <w:rFonts w:asciiTheme="minorHAnsi" w:eastAsiaTheme="minorHAnsi" w:hAnsiTheme="minorHAnsi" w:cstheme="minorBidi"/>
      <w:sz w:val="22"/>
      <w:szCs w:val="22"/>
      <w:lang w:val="es-MX" w:eastAsia="en-US"/>
    </w:rPr>
  </w:style>
  <w:style w:type="paragraph" w:styleId="Textoindependiente">
    <w:name w:val="Body Text"/>
    <w:basedOn w:val="Normal"/>
    <w:link w:val="TextoindependienteCar"/>
    <w:uiPriority w:val="99"/>
    <w:unhideWhenUsed/>
    <w:rsid w:val="00945197"/>
    <w:pPr>
      <w:spacing w:after="120" w:line="259" w:lineRule="auto"/>
    </w:pPr>
    <w:rPr>
      <w:rFonts w:asciiTheme="minorHAnsi" w:eastAsiaTheme="minorHAnsi" w:hAnsiTheme="minorHAnsi" w:cstheme="minorBidi"/>
      <w:sz w:val="22"/>
      <w:szCs w:val="22"/>
      <w:lang w:val="es-MX" w:eastAsia="en-US"/>
    </w:rPr>
  </w:style>
  <w:style w:type="character" w:customStyle="1" w:styleId="TextoindependienteCar">
    <w:name w:val="Texto independiente Car"/>
    <w:basedOn w:val="Fuentedeprrafopredeter"/>
    <w:link w:val="Textoindependiente"/>
    <w:uiPriority w:val="99"/>
    <w:rsid w:val="00945197"/>
    <w:rPr>
      <w:rFonts w:eastAsiaTheme="minorHAnsi"/>
      <w:sz w:val="22"/>
      <w:szCs w:val="22"/>
      <w:lang w:val="es-MX" w:eastAsia="en-US"/>
    </w:rPr>
  </w:style>
  <w:style w:type="paragraph" w:styleId="Sangradetextonormal">
    <w:name w:val="Body Text Indent"/>
    <w:basedOn w:val="Normal"/>
    <w:link w:val="SangradetextonormalCar"/>
    <w:uiPriority w:val="99"/>
    <w:unhideWhenUsed/>
    <w:rsid w:val="00945197"/>
    <w:pPr>
      <w:spacing w:after="120" w:line="259" w:lineRule="auto"/>
      <w:ind w:left="283"/>
    </w:pPr>
    <w:rPr>
      <w:rFonts w:asciiTheme="minorHAnsi" w:eastAsiaTheme="minorHAnsi" w:hAnsiTheme="minorHAnsi" w:cstheme="minorBidi"/>
      <w:sz w:val="22"/>
      <w:szCs w:val="22"/>
      <w:lang w:val="es-MX" w:eastAsia="en-US"/>
    </w:rPr>
  </w:style>
  <w:style w:type="character" w:customStyle="1" w:styleId="SangradetextonormalCar">
    <w:name w:val="Sangría de texto normal Car"/>
    <w:basedOn w:val="Fuentedeprrafopredeter"/>
    <w:link w:val="Sangradetextonormal"/>
    <w:uiPriority w:val="99"/>
    <w:rsid w:val="00945197"/>
    <w:rPr>
      <w:rFonts w:eastAsiaTheme="minorHAnsi"/>
      <w:sz w:val="22"/>
      <w:szCs w:val="22"/>
      <w:lang w:val="es-MX" w:eastAsia="en-US"/>
    </w:rPr>
  </w:style>
  <w:style w:type="paragraph" w:styleId="Textoindependienteprimerasangra2">
    <w:name w:val="Body Text First Indent 2"/>
    <w:basedOn w:val="Sangradetextonormal"/>
    <w:link w:val="Textoindependienteprimerasangra2Car"/>
    <w:uiPriority w:val="99"/>
    <w:unhideWhenUsed/>
    <w:rsid w:val="00945197"/>
    <w:pPr>
      <w:spacing w:after="16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945197"/>
    <w:rPr>
      <w:rFonts w:eastAsiaTheme="minorHAnsi"/>
      <w:sz w:val="22"/>
      <w:szCs w:val="22"/>
      <w:lang w:val="es-MX" w:eastAsia="en-US"/>
    </w:rPr>
  </w:style>
  <w:style w:type="character" w:styleId="Hipervnculovisitado">
    <w:name w:val="FollowedHyperlink"/>
    <w:basedOn w:val="Fuentedeprrafopredeter"/>
    <w:uiPriority w:val="99"/>
    <w:semiHidden/>
    <w:unhideWhenUsed/>
    <w:rsid w:val="005C4C2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666442">
      <w:bodyDiv w:val="1"/>
      <w:marLeft w:val="0"/>
      <w:marRight w:val="0"/>
      <w:marTop w:val="0"/>
      <w:marBottom w:val="0"/>
      <w:divBdr>
        <w:top w:val="none" w:sz="0" w:space="0" w:color="auto"/>
        <w:left w:val="none" w:sz="0" w:space="0" w:color="auto"/>
        <w:bottom w:val="none" w:sz="0" w:space="0" w:color="auto"/>
        <w:right w:val="none" w:sz="0" w:space="0" w:color="auto"/>
      </w:divBdr>
    </w:div>
    <w:div w:id="39399836">
      <w:bodyDiv w:val="1"/>
      <w:marLeft w:val="0"/>
      <w:marRight w:val="0"/>
      <w:marTop w:val="0"/>
      <w:marBottom w:val="0"/>
      <w:divBdr>
        <w:top w:val="none" w:sz="0" w:space="0" w:color="auto"/>
        <w:left w:val="none" w:sz="0" w:space="0" w:color="auto"/>
        <w:bottom w:val="none" w:sz="0" w:space="0" w:color="auto"/>
        <w:right w:val="none" w:sz="0" w:space="0" w:color="auto"/>
      </w:divBdr>
    </w:div>
    <w:div w:id="136607946">
      <w:bodyDiv w:val="1"/>
      <w:marLeft w:val="0"/>
      <w:marRight w:val="0"/>
      <w:marTop w:val="0"/>
      <w:marBottom w:val="0"/>
      <w:divBdr>
        <w:top w:val="none" w:sz="0" w:space="0" w:color="auto"/>
        <w:left w:val="none" w:sz="0" w:space="0" w:color="auto"/>
        <w:bottom w:val="none" w:sz="0" w:space="0" w:color="auto"/>
        <w:right w:val="none" w:sz="0" w:space="0" w:color="auto"/>
      </w:divBdr>
    </w:div>
    <w:div w:id="188758197">
      <w:bodyDiv w:val="1"/>
      <w:marLeft w:val="0"/>
      <w:marRight w:val="0"/>
      <w:marTop w:val="0"/>
      <w:marBottom w:val="0"/>
      <w:divBdr>
        <w:top w:val="none" w:sz="0" w:space="0" w:color="auto"/>
        <w:left w:val="none" w:sz="0" w:space="0" w:color="auto"/>
        <w:bottom w:val="none" w:sz="0" w:space="0" w:color="auto"/>
        <w:right w:val="none" w:sz="0" w:space="0" w:color="auto"/>
      </w:divBdr>
    </w:div>
    <w:div w:id="271325150">
      <w:bodyDiv w:val="1"/>
      <w:marLeft w:val="0"/>
      <w:marRight w:val="0"/>
      <w:marTop w:val="0"/>
      <w:marBottom w:val="0"/>
      <w:divBdr>
        <w:top w:val="none" w:sz="0" w:space="0" w:color="auto"/>
        <w:left w:val="none" w:sz="0" w:space="0" w:color="auto"/>
        <w:bottom w:val="none" w:sz="0" w:space="0" w:color="auto"/>
        <w:right w:val="none" w:sz="0" w:space="0" w:color="auto"/>
      </w:divBdr>
    </w:div>
    <w:div w:id="304044007">
      <w:bodyDiv w:val="1"/>
      <w:marLeft w:val="0"/>
      <w:marRight w:val="0"/>
      <w:marTop w:val="0"/>
      <w:marBottom w:val="0"/>
      <w:divBdr>
        <w:top w:val="none" w:sz="0" w:space="0" w:color="auto"/>
        <w:left w:val="none" w:sz="0" w:space="0" w:color="auto"/>
        <w:bottom w:val="none" w:sz="0" w:space="0" w:color="auto"/>
        <w:right w:val="none" w:sz="0" w:space="0" w:color="auto"/>
      </w:divBdr>
    </w:div>
    <w:div w:id="347870187">
      <w:bodyDiv w:val="1"/>
      <w:marLeft w:val="0"/>
      <w:marRight w:val="0"/>
      <w:marTop w:val="0"/>
      <w:marBottom w:val="0"/>
      <w:divBdr>
        <w:top w:val="none" w:sz="0" w:space="0" w:color="auto"/>
        <w:left w:val="none" w:sz="0" w:space="0" w:color="auto"/>
        <w:bottom w:val="none" w:sz="0" w:space="0" w:color="auto"/>
        <w:right w:val="none" w:sz="0" w:space="0" w:color="auto"/>
      </w:divBdr>
    </w:div>
    <w:div w:id="381246491">
      <w:bodyDiv w:val="1"/>
      <w:marLeft w:val="0"/>
      <w:marRight w:val="0"/>
      <w:marTop w:val="0"/>
      <w:marBottom w:val="0"/>
      <w:divBdr>
        <w:top w:val="none" w:sz="0" w:space="0" w:color="auto"/>
        <w:left w:val="none" w:sz="0" w:space="0" w:color="auto"/>
        <w:bottom w:val="none" w:sz="0" w:space="0" w:color="auto"/>
        <w:right w:val="none" w:sz="0" w:space="0" w:color="auto"/>
      </w:divBdr>
    </w:div>
    <w:div w:id="426851784">
      <w:bodyDiv w:val="1"/>
      <w:marLeft w:val="0"/>
      <w:marRight w:val="0"/>
      <w:marTop w:val="0"/>
      <w:marBottom w:val="0"/>
      <w:divBdr>
        <w:top w:val="none" w:sz="0" w:space="0" w:color="auto"/>
        <w:left w:val="none" w:sz="0" w:space="0" w:color="auto"/>
        <w:bottom w:val="none" w:sz="0" w:space="0" w:color="auto"/>
        <w:right w:val="none" w:sz="0" w:space="0" w:color="auto"/>
      </w:divBdr>
    </w:div>
    <w:div w:id="426852918">
      <w:bodyDiv w:val="1"/>
      <w:marLeft w:val="0"/>
      <w:marRight w:val="0"/>
      <w:marTop w:val="0"/>
      <w:marBottom w:val="0"/>
      <w:divBdr>
        <w:top w:val="none" w:sz="0" w:space="0" w:color="auto"/>
        <w:left w:val="none" w:sz="0" w:space="0" w:color="auto"/>
        <w:bottom w:val="none" w:sz="0" w:space="0" w:color="auto"/>
        <w:right w:val="none" w:sz="0" w:space="0" w:color="auto"/>
      </w:divBdr>
    </w:div>
    <w:div w:id="557132270">
      <w:bodyDiv w:val="1"/>
      <w:marLeft w:val="0"/>
      <w:marRight w:val="0"/>
      <w:marTop w:val="0"/>
      <w:marBottom w:val="0"/>
      <w:divBdr>
        <w:top w:val="none" w:sz="0" w:space="0" w:color="auto"/>
        <w:left w:val="none" w:sz="0" w:space="0" w:color="auto"/>
        <w:bottom w:val="none" w:sz="0" w:space="0" w:color="auto"/>
        <w:right w:val="none" w:sz="0" w:space="0" w:color="auto"/>
      </w:divBdr>
    </w:div>
    <w:div w:id="660550014">
      <w:bodyDiv w:val="1"/>
      <w:marLeft w:val="0"/>
      <w:marRight w:val="0"/>
      <w:marTop w:val="0"/>
      <w:marBottom w:val="0"/>
      <w:divBdr>
        <w:top w:val="none" w:sz="0" w:space="0" w:color="auto"/>
        <w:left w:val="none" w:sz="0" w:space="0" w:color="auto"/>
        <w:bottom w:val="none" w:sz="0" w:space="0" w:color="auto"/>
        <w:right w:val="none" w:sz="0" w:space="0" w:color="auto"/>
      </w:divBdr>
    </w:div>
    <w:div w:id="725950946">
      <w:bodyDiv w:val="1"/>
      <w:marLeft w:val="0"/>
      <w:marRight w:val="0"/>
      <w:marTop w:val="0"/>
      <w:marBottom w:val="0"/>
      <w:divBdr>
        <w:top w:val="none" w:sz="0" w:space="0" w:color="auto"/>
        <w:left w:val="none" w:sz="0" w:space="0" w:color="auto"/>
        <w:bottom w:val="none" w:sz="0" w:space="0" w:color="auto"/>
        <w:right w:val="none" w:sz="0" w:space="0" w:color="auto"/>
      </w:divBdr>
    </w:div>
    <w:div w:id="763647640">
      <w:bodyDiv w:val="1"/>
      <w:marLeft w:val="0"/>
      <w:marRight w:val="0"/>
      <w:marTop w:val="0"/>
      <w:marBottom w:val="0"/>
      <w:divBdr>
        <w:top w:val="none" w:sz="0" w:space="0" w:color="auto"/>
        <w:left w:val="none" w:sz="0" w:space="0" w:color="auto"/>
        <w:bottom w:val="none" w:sz="0" w:space="0" w:color="auto"/>
        <w:right w:val="none" w:sz="0" w:space="0" w:color="auto"/>
      </w:divBdr>
    </w:div>
    <w:div w:id="883099069">
      <w:bodyDiv w:val="1"/>
      <w:marLeft w:val="0"/>
      <w:marRight w:val="0"/>
      <w:marTop w:val="0"/>
      <w:marBottom w:val="0"/>
      <w:divBdr>
        <w:top w:val="none" w:sz="0" w:space="0" w:color="auto"/>
        <w:left w:val="none" w:sz="0" w:space="0" w:color="auto"/>
        <w:bottom w:val="none" w:sz="0" w:space="0" w:color="auto"/>
        <w:right w:val="none" w:sz="0" w:space="0" w:color="auto"/>
      </w:divBdr>
    </w:div>
    <w:div w:id="885990257">
      <w:bodyDiv w:val="1"/>
      <w:marLeft w:val="0"/>
      <w:marRight w:val="0"/>
      <w:marTop w:val="0"/>
      <w:marBottom w:val="0"/>
      <w:divBdr>
        <w:top w:val="none" w:sz="0" w:space="0" w:color="auto"/>
        <w:left w:val="none" w:sz="0" w:space="0" w:color="auto"/>
        <w:bottom w:val="none" w:sz="0" w:space="0" w:color="auto"/>
        <w:right w:val="none" w:sz="0" w:space="0" w:color="auto"/>
      </w:divBdr>
    </w:div>
    <w:div w:id="914779745">
      <w:bodyDiv w:val="1"/>
      <w:marLeft w:val="0"/>
      <w:marRight w:val="0"/>
      <w:marTop w:val="0"/>
      <w:marBottom w:val="0"/>
      <w:divBdr>
        <w:top w:val="none" w:sz="0" w:space="0" w:color="auto"/>
        <w:left w:val="none" w:sz="0" w:space="0" w:color="auto"/>
        <w:bottom w:val="none" w:sz="0" w:space="0" w:color="auto"/>
        <w:right w:val="none" w:sz="0" w:space="0" w:color="auto"/>
      </w:divBdr>
    </w:div>
    <w:div w:id="977220552">
      <w:bodyDiv w:val="1"/>
      <w:marLeft w:val="0"/>
      <w:marRight w:val="0"/>
      <w:marTop w:val="0"/>
      <w:marBottom w:val="0"/>
      <w:divBdr>
        <w:top w:val="none" w:sz="0" w:space="0" w:color="auto"/>
        <w:left w:val="none" w:sz="0" w:space="0" w:color="auto"/>
        <w:bottom w:val="none" w:sz="0" w:space="0" w:color="auto"/>
        <w:right w:val="none" w:sz="0" w:space="0" w:color="auto"/>
      </w:divBdr>
    </w:div>
    <w:div w:id="1039889826">
      <w:bodyDiv w:val="1"/>
      <w:marLeft w:val="0"/>
      <w:marRight w:val="0"/>
      <w:marTop w:val="0"/>
      <w:marBottom w:val="0"/>
      <w:divBdr>
        <w:top w:val="none" w:sz="0" w:space="0" w:color="auto"/>
        <w:left w:val="none" w:sz="0" w:space="0" w:color="auto"/>
        <w:bottom w:val="none" w:sz="0" w:space="0" w:color="auto"/>
        <w:right w:val="none" w:sz="0" w:space="0" w:color="auto"/>
      </w:divBdr>
    </w:div>
    <w:div w:id="1050612787">
      <w:bodyDiv w:val="1"/>
      <w:marLeft w:val="0"/>
      <w:marRight w:val="0"/>
      <w:marTop w:val="0"/>
      <w:marBottom w:val="0"/>
      <w:divBdr>
        <w:top w:val="none" w:sz="0" w:space="0" w:color="auto"/>
        <w:left w:val="none" w:sz="0" w:space="0" w:color="auto"/>
        <w:bottom w:val="none" w:sz="0" w:space="0" w:color="auto"/>
        <w:right w:val="none" w:sz="0" w:space="0" w:color="auto"/>
      </w:divBdr>
    </w:div>
    <w:div w:id="1064327722">
      <w:bodyDiv w:val="1"/>
      <w:marLeft w:val="0"/>
      <w:marRight w:val="0"/>
      <w:marTop w:val="0"/>
      <w:marBottom w:val="0"/>
      <w:divBdr>
        <w:top w:val="none" w:sz="0" w:space="0" w:color="auto"/>
        <w:left w:val="none" w:sz="0" w:space="0" w:color="auto"/>
        <w:bottom w:val="none" w:sz="0" w:space="0" w:color="auto"/>
        <w:right w:val="none" w:sz="0" w:space="0" w:color="auto"/>
      </w:divBdr>
    </w:div>
    <w:div w:id="1181164018">
      <w:bodyDiv w:val="1"/>
      <w:marLeft w:val="0"/>
      <w:marRight w:val="0"/>
      <w:marTop w:val="0"/>
      <w:marBottom w:val="0"/>
      <w:divBdr>
        <w:top w:val="none" w:sz="0" w:space="0" w:color="auto"/>
        <w:left w:val="none" w:sz="0" w:space="0" w:color="auto"/>
        <w:bottom w:val="none" w:sz="0" w:space="0" w:color="auto"/>
        <w:right w:val="none" w:sz="0" w:space="0" w:color="auto"/>
      </w:divBdr>
    </w:div>
    <w:div w:id="1194808878">
      <w:bodyDiv w:val="1"/>
      <w:marLeft w:val="0"/>
      <w:marRight w:val="0"/>
      <w:marTop w:val="0"/>
      <w:marBottom w:val="0"/>
      <w:divBdr>
        <w:top w:val="none" w:sz="0" w:space="0" w:color="auto"/>
        <w:left w:val="none" w:sz="0" w:space="0" w:color="auto"/>
        <w:bottom w:val="none" w:sz="0" w:space="0" w:color="auto"/>
        <w:right w:val="none" w:sz="0" w:space="0" w:color="auto"/>
      </w:divBdr>
    </w:div>
    <w:div w:id="1256551066">
      <w:bodyDiv w:val="1"/>
      <w:marLeft w:val="0"/>
      <w:marRight w:val="0"/>
      <w:marTop w:val="0"/>
      <w:marBottom w:val="0"/>
      <w:divBdr>
        <w:top w:val="none" w:sz="0" w:space="0" w:color="auto"/>
        <w:left w:val="none" w:sz="0" w:space="0" w:color="auto"/>
        <w:bottom w:val="none" w:sz="0" w:space="0" w:color="auto"/>
        <w:right w:val="none" w:sz="0" w:space="0" w:color="auto"/>
      </w:divBdr>
    </w:div>
    <w:div w:id="1351030340">
      <w:bodyDiv w:val="1"/>
      <w:marLeft w:val="0"/>
      <w:marRight w:val="0"/>
      <w:marTop w:val="0"/>
      <w:marBottom w:val="0"/>
      <w:divBdr>
        <w:top w:val="none" w:sz="0" w:space="0" w:color="auto"/>
        <w:left w:val="none" w:sz="0" w:space="0" w:color="auto"/>
        <w:bottom w:val="none" w:sz="0" w:space="0" w:color="auto"/>
        <w:right w:val="none" w:sz="0" w:space="0" w:color="auto"/>
      </w:divBdr>
    </w:div>
    <w:div w:id="1540313229">
      <w:bodyDiv w:val="1"/>
      <w:marLeft w:val="0"/>
      <w:marRight w:val="0"/>
      <w:marTop w:val="0"/>
      <w:marBottom w:val="0"/>
      <w:divBdr>
        <w:top w:val="none" w:sz="0" w:space="0" w:color="auto"/>
        <w:left w:val="none" w:sz="0" w:space="0" w:color="auto"/>
        <w:bottom w:val="none" w:sz="0" w:space="0" w:color="auto"/>
        <w:right w:val="none" w:sz="0" w:space="0" w:color="auto"/>
      </w:divBdr>
    </w:div>
    <w:div w:id="1623993236">
      <w:bodyDiv w:val="1"/>
      <w:marLeft w:val="0"/>
      <w:marRight w:val="0"/>
      <w:marTop w:val="0"/>
      <w:marBottom w:val="0"/>
      <w:divBdr>
        <w:top w:val="none" w:sz="0" w:space="0" w:color="auto"/>
        <w:left w:val="none" w:sz="0" w:space="0" w:color="auto"/>
        <w:bottom w:val="none" w:sz="0" w:space="0" w:color="auto"/>
        <w:right w:val="none" w:sz="0" w:space="0" w:color="auto"/>
      </w:divBdr>
    </w:div>
    <w:div w:id="1654026568">
      <w:bodyDiv w:val="1"/>
      <w:marLeft w:val="0"/>
      <w:marRight w:val="0"/>
      <w:marTop w:val="0"/>
      <w:marBottom w:val="0"/>
      <w:divBdr>
        <w:top w:val="none" w:sz="0" w:space="0" w:color="auto"/>
        <w:left w:val="none" w:sz="0" w:space="0" w:color="auto"/>
        <w:bottom w:val="none" w:sz="0" w:space="0" w:color="auto"/>
        <w:right w:val="none" w:sz="0" w:space="0" w:color="auto"/>
      </w:divBdr>
    </w:div>
    <w:div w:id="1704012175">
      <w:bodyDiv w:val="1"/>
      <w:marLeft w:val="0"/>
      <w:marRight w:val="0"/>
      <w:marTop w:val="0"/>
      <w:marBottom w:val="0"/>
      <w:divBdr>
        <w:top w:val="none" w:sz="0" w:space="0" w:color="auto"/>
        <w:left w:val="none" w:sz="0" w:space="0" w:color="auto"/>
        <w:bottom w:val="none" w:sz="0" w:space="0" w:color="auto"/>
        <w:right w:val="none" w:sz="0" w:space="0" w:color="auto"/>
      </w:divBdr>
    </w:div>
    <w:div w:id="1756241379">
      <w:bodyDiv w:val="1"/>
      <w:marLeft w:val="0"/>
      <w:marRight w:val="0"/>
      <w:marTop w:val="0"/>
      <w:marBottom w:val="0"/>
      <w:divBdr>
        <w:top w:val="none" w:sz="0" w:space="0" w:color="auto"/>
        <w:left w:val="none" w:sz="0" w:space="0" w:color="auto"/>
        <w:bottom w:val="none" w:sz="0" w:space="0" w:color="auto"/>
        <w:right w:val="none" w:sz="0" w:space="0" w:color="auto"/>
      </w:divBdr>
    </w:div>
    <w:div w:id="1779257042">
      <w:bodyDiv w:val="1"/>
      <w:marLeft w:val="0"/>
      <w:marRight w:val="0"/>
      <w:marTop w:val="0"/>
      <w:marBottom w:val="0"/>
      <w:divBdr>
        <w:top w:val="none" w:sz="0" w:space="0" w:color="auto"/>
        <w:left w:val="none" w:sz="0" w:space="0" w:color="auto"/>
        <w:bottom w:val="none" w:sz="0" w:space="0" w:color="auto"/>
        <w:right w:val="none" w:sz="0" w:space="0" w:color="auto"/>
      </w:divBdr>
    </w:div>
    <w:div w:id="1827017740">
      <w:bodyDiv w:val="1"/>
      <w:marLeft w:val="0"/>
      <w:marRight w:val="0"/>
      <w:marTop w:val="0"/>
      <w:marBottom w:val="0"/>
      <w:divBdr>
        <w:top w:val="none" w:sz="0" w:space="0" w:color="auto"/>
        <w:left w:val="none" w:sz="0" w:space="0" w:color="auto"/>
        <w:bottom w:val="none" w:sz="0" w:space="0" w:color="auto"/>
        <w:right w:val="none" w:sz="0" w:space="0" w:color="auto"/>
      </w:divBdr>
    </w:div>
    <w:div w:id="1836724207">
      <w:bodyDiv w:val="1"/>
      <w:marLeft w:val="0"/>
      <w:marRight w:val="0"/>
      <w:marTop w:val="0"/>
      <w:marBottom w:val="0"/>
      <w:divBdr>
        <w:top w:val="none" w:sz="0" w:space="0" w:color="auto"/>
        <w:left w:val="none" w:sz="0" w:space="0" w:color="auto"/>
        <w:bottom w:val="none" w:sz="0" w:space="0" w:color="auto"/>
        <w:right w:val="none" w:sz="0" w:space="0" w:color="auto"/>
      </w:divBdr>
    </w:div>
    <w:div w:id="1946493640">
      <w:bodyDiv w:val="1"/>
      <w:marLeft w:val="0"/>
      <w:marRight w:val="0"/>
      <w:marTop w:val="0"/>
      <w:marBottom w:val="0"/>
      <w:divBdr>
        <w:top w:val="none" w:sz="0" w:space="0" w:color="auto"/>
        <w:left w:val="none" w:sz="0" w:space="0" w:color="auto"/>
        <w:bottom w:val="none" w:sz="0" w:space="0" w:color="auto"/>
        <w:right w:val="none" w:sz="0" w:space="0" w:color="auto"/>
      </w:divBdr>
    </w:div>
    <w:div w:id="2078239838">
      <w:bodyDiv w:val="1"/>
      <w:marLeft w:val="0"/>
      <w:marRight w:val="0"/>
      <w:marTop w:val="0"/>
      <w:marBottom w:val="0"/>
      <w:divBdr>
        <w:top w:val="none" w:sz="0" w:space="0" w:color="auto"/>
        <w:left w:val="none" w:sz="0" w:space="0" w:color="auto"/>
        <w:bottom w:val="none" w:sz="0" w:space="0" w:color="auto"/>
        <w:right w:val="none" w:sz="0" w:space="0" w:color="auto"/>
      </w:divBdr>
    </w:div>
    <w:div w:id="2088184187">
      <w:bodyDiv w:val="1"/>
      <w:marLeft w:val="0"/>
      <w:marRight w:val="0"/>
      <w:marTop w:val="0"/>
      <w:marBottom w:val="0"/>
      <w:divBdr>
        <w:top w:val="none" w:sz="0" w:space="0" w:color="auto"/>
        <w:left w:val="none" w:sz="0" w:space="0" w:color="auto"/>
        <w:bottom w:val="none" w:sz="0" w:space="0" w:color="auto"/>
        <w:right w:val="none" w:sz="0" w:space="0" w:color="auto"/>
      </w:divBdr>
    </w:div>
    <w:div w:id="2095199972">
      <w:bodyDiv w:val="1"/>
      <w:marLeft w:val="0"/>
      <w:marRight w:val="0"/>
      <w:marTop w:val="0"/>
      <w:marBottom w:val="0"/>
      <w:divBdr>
        <w:top w:val="none" w:sz="0" w:space="0" w:color="auto"/>
        <w:left w:val="none" w:sz="0" w:space="0" w:color="auto"/>
        <w:bottom w:val="none" w:sz="0" w:space="0" w:color="auto"/>
        <w:right w:val="none" w:sz="0" w:space="0" w:color="auto"/>
      </w:divBdr>
    </w:div>
    <w:div w:id="21337423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aimex.org.mx/saimex/solicitud/downloadAttach/554649.page" TargetMode="External"/><Relationship Id="rId13" Type="http://schemas.openxmlformats.org/officeDocument/2006/relationships/image" Target="media/image1.png"/><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transparencia.prd.org.mx/" TargetMode="External"/><Relationship Id="rId17" Type="http://schemas.openxmlformats.org/officeDocument/2006/relationships/image" Target="media/image5.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aimex.org.mx/saimex/solicitud/downloadAttach/554649.page"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footer" Target="footer2.xml"/><Relationship Id="rId10" Type="http://schemas.openxmlformats.org/officeDocument/2006/relationships/hyperlink" Target="https://www.saimex.org.mx/saimex/solicitud/downloadAttach/554651.page" TargetMode="Externa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yperlink" Target="https://www.saimex.org.mx/saimex/solicitud/downloadAttach/554650.page" TargetMode="External"/><Relationship Id="rId14" Type="http://schemas.openxmlformats.org/officeDocument/2006/relationships/image" Target="media/image2.png"/><Relationship Id="rId22" Type="http://schemas.openxmlformats.org/officeDocument/2006/relationships/header" Target="head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6894C5-EB15-49BC-BB3F-6150AFB8E4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5943</Words>
  <Characters>32690</Characters>
  <Application>Microsoft Office Word</Application>
  <DocSecurity>0</DocSecurity>
  <Lines>272</Lines>
  <Paragraphs>77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38556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2</cp:revision>
  <cp:lastPrinted>2018-09-03T23:28:00Z</cp:lastPrinted>
  <dcterms:created xsi:type="dcterms:W3CDTF">2018-10-02T00:43:00Z</dcterms:created>
  <dcterms:modified xsi:type="dcterms:W3CDTF">2018-10-02T00:43:00Z</dcterms:modified>
</cp:coreProperties>
</file>